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E08" w:rsidRPr="006F42D3" w:rsidRDefault="001B01D5" w:rsidP="00CD22F6">
      <w:pPr>
        <w:ind w:left="567" w:right="49"/>
        <w:jc w:val="center"/>
        <w:rPr>
          <w:b/>
        </w:rPr>
      </w:pPr>
      <w:r w:rsidRPr="006F42D3">
        <w:rPr>
          <w:b/>
        </w:rPr>
        <w:t xml:space="preserve">Narración para la </w:t>
      </w:r>
      <w:r w:rsidR="006F42D3">
        <w:rPr>
          <w:b/>
        </w:rPr>
        <w:t>presentación</w:t>
      </w:r>
      <w:r w:rsidRPr="006F42D3">
        <w:rPr>
          <w:b/>
        </w:rPr>
        <w:t xml:space="preserve"> del </w:t>
      </w:r>
      <w:proofErr w:type="spellStart"/>
      <w:r w:rsidRPr="006F42D3">
        <w:rPr>
          <w:b/>
          <w:i/>
        </w:rPr>
        <w:t>Networking</w:t>
      </w:r>
      <w:proofErr w:type="spellEnd"/>
      <w:r w:rsidRPr="006F42D3">
        <w:rPr>
          <w:b/>
          <w:i/>
        </w:rPr>
        <w:t xml:space="preserve"> </w:t>
      </w:r>
      <w:proofErr w:type="spellStart"/>
      <w:r w:rsidRPr="006F42D3">
        <w:rPr>
          <w:b/>
          <w:i/>
        </w:rPr>
        <w:t>Event</w:t>
      </w:r>
      <w:proofErr w:type="spellEnd"/>
      <w:r w:rsidRPr="006F42D3">
        <w:rPr>
          <w:b/>
        </w:rPr>
        <w:t xml:space="preserve"> en H</w:t>
      </w:r>
      <w:r w:rsidR="00C425C2">
        <w:rPr>
          <w:b/>
        </w:rPr>
        <w:t>ábitat</w:t>
      </w:r>
      <w:r w:rsidRPr="006F42D3">
        <w:rPr>
          <w:b/>
        </w:rPr>
        <w:t xml:space="preserve"> III</w:t>
      </w:r>
    </w:p>
    <w:p w:rsidR="006F42D3" w:rsidRDefault="006F42D3" w:rsidP="00CD22F6">
      <w:pPr>
        <w:pStyle w:val="Textoindependiente"/>
        <w:ind w:left="567" w:right="49"/>
        <w:jc w:val="center"/>
        <w:rPr>
          <w:rFonts w:ascii="Segoe UI" w:hAnsi="Segoe UI"/>
          <w:b/>
          <w:w w:val="75"/>
          <w:sz w:val="22"/>
          <w:szCs w:val="22"/>
        </w:rPr>
      </w:pPr>
    </w:p>
    <w:p w:rsidR="009528C2" w:rsidRPr="009528C2" w:rsidRDefault="006F42D3" w:rsidP="009528C2">
      <w:pPr>
        <w:tabs>
          <w:tab w:val="left" w:pos="9072"/>
        </w:tabs>
        <w:ind w:left="567" w:right="49"/>
      </w:pPr>
      <w:r w:rsidRPr="009528C2">
        <w:t xml:space="preserve">El </w:t>
      </w:r>
      <w:r w:rsidR="005D0B15" w:rsidRPr="009528C2">
        <w:t>Consejo Centroamericano de Vivienda y Asentamientos Humanos,</w:t>
      </w:r>
      <w:r w:rsidRPr="009528C2">
        <w:t xml:space="preserve"> la instancia política decisoria del Subsistema Social </w:t>
      </w:r>
      <w:r w:rsidR="0031108B" w:rsidRPr="009528C2">
        <w:t>en el</w:t>
      </w:r>
      <w:r w:rsidRPr="009528C2">
        <w:t xml:space="preserve"> Sistema de la Integración Centroamericana (SICA)</w:t>
      </w:r>
      <w:r w:rsidR="005D0B15" w:rsidRPr="009528C2">
        <w:t xml:space="preserve"> </w:t>
      </w:r>
      <w:r w:rsidRPr="009528C2">
        <w:t xml:space="preserve">busca promover la </w:t>
      </w:r>
      <w:r w:rsidR="002374A2" w:rsidRPr="009528C2">
        <w:t xml:space="preserve">implementación de la </w:t>
      </w:r>
      <w:bookmarkStart w:id="0" w:name="_GoBack"/>
      <w:bookmarkEnd w:id="0"/>
      <w:r w:rsidR="002374A2" w:rsidRPr="009528C2">
        <w:t>N</w:t>
      </w:r>
      <w:r w:rsidR="009528C2" w:rsidRPr="009528C2">
        <w:t xml:space="preserve">ueva </w:t>
      </w:r>
      <w:r w:rsidR="002374A2" w:rsidRPr="009528C2">
        <w:t>A</w:t>
      </w:r>
      <w:r w:rsidR="009528C2" w:rsidRPr="009528C2">
        <w:t xml:space="preserve">genda </w:t>
      </w:r>
      <w:r w:rsidR="002374A2" w:rsidRPr="009528C2">
        <w:t>U</w:t>
      </w:r>
      <w:r w:rsidR="009528C2" w:rsidRPr="009528C2">
        <w:t>rbana</w:t>
      </w:r>
      <w:r w:rsidR="002374A2" w:rsidRPr="009528C2">
        <w:t>, poniendo la mirada de los países miembros del SICA en las opciones proactivas para la fase post H</w:t>
      </w:r>
      <w:r w:rsidR="00DE1859" w:rsidRPr="009528C2">
        <w:t>ábitat</w:t>
      </w:r>
      <w:r w:rsidR="002374A2" w:rsidRPr="009528C2">
        <w:t xml:space="preserve"> III</w:t>
      </w:r>
      <w:r w:rsidR="009528C2" w:rsidRPr="009528C2">
        <w:t xml:space="preserve"> a nuestra escala regional</w:t>
      </w:r>
      <w:r w:rsidR="009528C2">
        <w:t>.</w:t>
      </w:r>
      <w:r w:rsidR="009528C2" w:rsidRPr="009528C2">
        <w:t xml:space="preserve"> </w:t>
      </w:r>
    </w:p>
    <w:p w:rsidR="00DE1859" w:rsidRDefault="00DE1859" w:rsidP="00CD22F6">
      <w:pPr>
        <w:ind w:left="567" w:right="49"/>
      </w:pPr>
      <w:r w:rsidRPr="009528C2">
        <w:t xml:space="preserve">Partiendo de las particularidades de la Región, es menester destacar el rol y la función de las ciudades intermedias, las que se han convertido en </w:t>
      </w:r>
      <w:r w:rsidR="00E06058">
        <w:t>nodos</w:t>
      </w:r>
      <w:r w:rsidR="00E06058" w:rsidRPr="009528C2">
        <w:t xml:space="preserve"> </w:t>
      </w:r>
      <w:r w:rsidRPr="009528C2">
        <w:t>fundamentales para el desarrollo de los países con elevada</w:t>
      </w:r>
      <w:r w:rsidRPr="001B01D5">
        <w:t xml:space="preserve"> concentración urbana. </w:t>
      </w:r>
      <w:r w:rsidR="009528C2">
        <w:t>Por</w:t>
      </w:r>
      <w:r w:rsidR="009528C2" w:rsidRPr="009528C2">
        <w:t xml:space="preserve"> ello busca</w:t>
      </w:r>
      <w:r w:rsidR="009528C2">
        <w:t>mos</w:t>
      </w:r>
      <w:r w:rsidR="009528C2" w:rsidRPr="009528C2">
        <w:t xml:space="preserve"> la creación de una red de Ciudades Intermedias.</w:t>
      </w:r>
    </w:p>
    <w:p w:rsidR="009528C2" w:rsidRPr="003B04DB" w:rsidRDefault="005D0B15" w:rsidP="00CD22F6">
      <w:pPr>
        <w:ind w:left="567" w:right="49"/>
      </w:pPr>
      <w:r w:rsidRPr="003B04DB">
        <w:t xml:space="preserve">Mientras ciudades intermedias de corte global oscilan entre </w:t>
      </w:r>
      <w:r w:rsidR="00DE1859" w:rsidRPr="003B04DB">
        <w:t>un</w:t>
      </w:r>
      <w:r w:rsidRPr="003B04DB">
        <w:t xml:space="preserve"> millón y cinco millones de habitantes, </w:t>
      </w:r>
      <w:r w:rsidR="009528C2" w:rsidRPr="003B04DB">
        <w:t xml:space="preserve">en </w:t>
      </w:r>
      <w:r w:rsidRPr="003B04DB">
        <w:t>la</w:t>
      </w:r>
      <w:r w:rsidR="009528C2" w:rsidRPr="003B04DB">
        <w:t xml:space="preserve"> escala centroamericana las mismas </w:t>
      </w:r>
      <w:r w:rsidR="003B04DB" w:rsidRPr="003B04DB">
        <w:t>evidencian</w:t>
      </w:r>
      <w:r w:rsidR="009528C2" w:rsidRPr="003B04DB">
        <w:t xml:space="preserve"> una poblacional significativamente más reducida</w:t>
      </w:r>
      <w:r w:rsidR="003B04DB" w:rsidRPr="003B04DB">
        <w:t>, sin que</w:t>
      </w:r>
      <w:r w:rsidR="009528C2" w:rsidRPr="003B04DB">
        <w:t xml:space="preserve"> </w:t>
      </w:r>
      <w:r w:rsidR="003B04DB" w:rsidRPr="003B04DB">
        <w:t>cumplan</w:t>
      </w:r>
      <w:r w:rsidR="00DE1859" w:rsidRPr="003B04DB">
        <w:t xml:space="preserve"> para su contexto urbano-rural y</w:t>
      </w:r>
      <w:r w:rsidR="009528C2" w:rsidRPr="003B04DB">
        <w:t xml:space="preserve"> nacional las mismas funciones. </w:t>
      </w:r>
    </w:p>
    <w:p w:rsidR="001C425D" w:rsidRPr="003B04DB" w:rsidRDefault="001C425D" w:rsidP="00CD22F6">
      <w:pPr>
        <w:ind w:left="567" w:right="49"/>
      </w:pPr>
      <w:r w:rsidRPr="003B04DB">
        <w:t xml:space="preserve">A pesar de sus actuales precariedades, </w:t>
      </w:r>
      <w:r w:rsidR="00E06058">
        <w:t xml:space="preserve">las </w:t>
      </w:r>
      <w:r w:rsidR="00E06058" w:rsidRPr="003B04DB">
        <w:t xml:space="preserve">ciudades </w:t>
      </w:r>
      <w:r w:rsidRPr="003B04DB">
        <w:t>ofrecen oportunidades para</w:t>
      </w:r>
      <w:r w:rsidR="00E06058">
        <w:t xml:space="preserve"> lo siguiente</w:t>
      </w:r>
      <w:r w:rsidR="003B04DB">
        <w:t>:</w:t>
      </w:r>
      <w:r w:rsidRPr="003B04DB">
        <w:t xml:space="preserve"> </w:t>
      </w:r>
    </w:p>
    <w:p w:rsidR="001C425D" w:rsidRPr="003B04DB" w:rsidRDefault="003B04DB" w:rsidP="003B04DB">
      <w:pPr>
        <w:pStyle w:val="Prrafodelista"/>
        <w:numPr>
          <w:ilvl w:val="0"/>
          <w:numId w:val="3"/>
        </w:numPr>
        <w:ind w:left="851" w:right="49" w:hanging="284"/>
      </w:pPr>
      <w:r w:rsidRPr="003B04DB">
        <w:t xml:space="preserve">una </w:t>
      </w:r>
      <w:r w:rsidR="001C425D" w:rsidRPr="003B04DB">
        <w:t>gobernabilidad y una gestión más eficaz</w:t>
      </w:r>
      <w:r>
        <w:t xml:space="preserve">; </w:t>
      </w:r>
    </w:p>
    <w:p w:rsidR="001C425D" w:rsidRPr="003B04DB" w:rsidRDefault="003B04DB" w:rsidP="003B04DB">
      <w:pPr>
        <w:pStyle w:val="Prrafodelista"/>
        <w:numPr>
          <w:ilvl w:val="0"/>
          <w:numId w:val="3"/>
        </w:numPr>
        <w:ind w:left="851" w:right="49" w:hanging="284"/>
      </w:pPr>
      <w:r w:rsidRPr="003B04DB">
        <w:t xml:space="preserve">pueden </w:t>
      </w:r>
      <w:r w:rsidR="001C425D" w:rsidRPr="003B04DB">
        <w:t xml:space="preserve">facilitar </w:t>
      </w:r>
      <w:r w:rsidRPr="003B04DB">
        <w:t>mejor</w:t>
      </w:r>
      <w:r w:rsidR="00E06058">
        <w:t>ar</w:t>
      </w:r>
      <w:r>
        <w:t xml:space="preserve"> la</w:t>
      </w:r>
      <w:r w:rsidR="001C425D" w:rsidRPr="003B04DB">
        <w:t xml:space="preserve"> cohesión social</w:t>
      </w:r>
      <w:r>
        <w:t>;</w:t>
      </w:r>
      <w:r w:rsidR="001C425D" w:rsidRPr="003B04DB">
        <w:t xml:space="preserve"> </w:t>
      </w:r>
    </w:p>
    <w:p w:rsidR="001C425D" w:rsidRPr="003B04DB" w:rsidRDefault="003B04DB" w:rsidP="003B04DB">
      <w:pPr>
        <w:pStyle w:val="Prrafodelista"/>
        <w:numPr>
          <w:ilvl w:val="0"/>
          <w:numId w:val="3"/>
        </w:numPr>
        <w:ind w:left="851" w:right="49" w:hanging="284"/>
      </w:pPr>
      <w:r>
        <w:t xml:space="preserve">dar </w:t>
      </w:r>
      <w:r w:rsidR="001C425D" w:rsidRPr="003B04DB">
        <w:t>sentido de identidad y pertenencia</w:t>
      </w:r>
      <w:r>
        <w:t>;</w:t>
      </w:r>
      <w:r w:rsidR="001C425D" w:rsidRPr="003B04DB">
        <w:t xml:space="preserve"> </w:t>
      </w:r>
    </w:p>
    <w:p w:rsidR="001C425D" w:rsidRPr="003B04DB" w:rsidRDefault="003B04DB" w:rsidP="003B04DB">
      <w:pPr>
        <w:pStyle w:val="Prrafodelista"/>
        <w:numPr>
          <w:ilvl w:val="0"/>
          <w:numId w:val="3"/>
        </w:numPr>
        <w:ind w:left="851" w:right="49" w:hanging="284"/>
      </w:pPr>
      <w:r w:rsidRPr="003B04DB">
        <w:t xml:space="preserve">ofrecer una </w:t>
      </w:r>
      <w:r w:rsidR="001C425D" w:rsidRPr="003B04DB">
        <w:t>relación más equilibrada con el entorno natural.</w:t>
      </w:r>
    </w:p>
    <w:p w:rsidR="006F42D3" w:rsidRPr="001B01D5" w:rsidRDefault="006F42D3" w:rsidP="00CD22F6">
      <w:pPr>
        <w:ind w:left="567" w:right="49"/>
      </w:pPr>
      <w:r w:rsidRPr="003B04DB">
        <w:t>Reconocemos de cara a los déficits en materia de Desarrollo Territorial y Urbano en Centroamérica y la República Dominicana una necesidad y responsabilidad de alcanzar territorios y hábitat más equilibrados y</w:t>
      </w:r>
      <w:r w:rsidRPr="001B01D5">
        <w:t xml:space="preserve"> promover sociedades económica, social y ambientalmente más </w:t>
      </w:r>
      <w:r w:rsidR="00DE1859">
        <w:t>sustentables</w:t>
      </w:r>
      <w:r w:rsidRPr="001B01D5">
        <w:t>.</w:t>
      </w:r>
    </w:p>
    <w:p w:rsidR="006F42D3" w:rsidRDefault="006F42D3" w:rsidP="00CD22F6">
      <w:pPr>
        <w:ind w:left="567" w:right="49"/>
        <w:rPr>
          <w:lang w:val="es-HN"/>
        </w:rPr>
      </w:pPr>
      <w:r w:rsidRPr="001B01D5">
        <w:rPr>
          <w:lang w:val="es-HN"/>
        </w:rPr>
        <w:t>Por otro lado, existen antecedentes de cooperación de los gobiernos locales en asociaciones o mancomunidades en varios países cen</w:t>
      </w:r>
      <w:r w:rsidR="003B04DB">
        <w:rPr>
          <w:lang w:val="es-HN"/>
        </w:rPr>
        <w:t xml:space="preserve">troamericanos, como </w:t>
      </w:r>
      <w:r w:rsidRPr="001B01D5">
        <w:rPr>
          <w:lang w:val="es-HN"/>
        </w:rPr>
        <w:t xml:space="preserve">por ejemplo, asociaciones de municipalidades de El Salvador, Honduras, </w:t>
      </w:r>
      <w:r w:rsidR="003B04DB">
        <w:rPr>
          <w:lang w:val="es-HN"/>
        </w:rPr>
        <w:t xml:space="preserve">y </w:t>
      </w:r>
      <w:r w:rsidRPr="001B01D5">
        <w:rPr>
          <w:lang w:val="es-HN"/>
        </w:rPr>
        <w:t xml:space="preserve">la Mancomunidad </w:t>
      </w:r>
      <w:proofErr w:type="spellStart"/>
      <w:r w:rsidRPr="001B01D5">
        <w:rPr>
          <w:lang w:val="es-HN"/>
        </w:rPr>
        <w:t>Tri</w:t>
      </w:r>
      <w:proofErr w:type="spellEnd"/>
      <w:r w:rsidR="003B04DB">
        <w:rPr>
          <w:lang w:val="es-HN"/>
        </w:rPr>
        <w:t>-</w:t>
      </w:r>
      <w:r w:rsidRPr="001B01D5">
        <w:rPr>
          <w:lang w:val="es-HN"/>
        </w:rPr>
        <w:t>nacional del Trifinio que reúne territorios de El</w:t>
      </w:r>
      <w:r w:rsidR="003B04DB">
        <w:rPr>
          <w:lang w:val="es-HN"/>
        </w:rPr>
        <w:t xml:space="preserve"> Salvador, Honduras y Guatemala</w:t>
      </w:r>
      <w:r w:rsidRPr="001B01D5">
        <w:rPr>
          <w:lang w:val="es-HN"/>
        </w:rPr>
        <w:t xml:space="preserve">. Ello constituye un punto de partida para aumentar la masa crítica que permitirá </w:t>
      </w:r>
      <w:r w:rsidR="001C425D">
        <w:rPr>
          <w:lang w:val="es-HN"/>
        </w:rPr>
        <w:t>lograr</w:t>
      </w:r>
      <w:r w:rsidRPr="001B01D5">
        <w:rPr>
          <w:lang w:val="es-HN"/>
        </w:rPr>
        <w:t xml:space="preserve"> el apoyo que cada uno de sus miembros</w:t>
      </w:r>
      <w:r w:rsidR="00E06058">
        <w:rPr>
          <w:lang w:val="es-HN"/>
        </w:rPr>
        <w:t>, que</w:t>
      </w:r>
      <w:r w:rsidRPr="001B01D5">
        <w:rPr>
          <w:lang w:val="es-HN"/>
        </w:rPr>
        <w:t xml:space="preserve"> por sí sólo </w:t>
      </w:r>
      <w:r w:rsidR="001C425D">
        <w:rPr>
          <w:lang w:val="es-HN"/>
        </w:rPr>
        <w:t xml:space="preserve">difícilmente </w:t>
      </w:r>
      <w:r w:rsidR="00E06058">
        <w:rPr>
          <w:lang w:val="es-HN"/>
        </w:rPr>
        <w:t>podría alcanzarse</w:t>
      </w:r>
      <w:r w:rsidRPr="001B01D5">
        <w:rPr>
          <w:lang w:val="es-HN"/>
        </w:rPr>
        <w:t xml:space="preserve">. </w:t>
      </w:r>
    </w:p>
    <w:p w:rsidR="001C425D" w:rsidRDefault="006F42D3" w:rsidP="00CD22F6">
      <w:pPr>
        <w:ind w:left="567" w:right="49"/>
      </w:pPr>
      <w:r w:rsidRPr="003B04DB">
        <w:rPr>
          <w:lang w:val="es-HN"/>
        </w:rPr>
        <w:t>E</w:t>
      </w:r>
      <w:r w:rsidRPr="003B04DB">
        <w:t xml:space="preserve">n respuesta a la necesidad de un equilibrio territorial </w:t>
      </w:r>
      <w:r w:rsidRPr="003B04DB">
        <w:rPr>
          <w:lang w:val="es-HN"/>
        </w:rPr>
        <w:t xml:space="preserve">constatamos un </w:t>
      </w:r>
      <w:r w:rsidR="00E06058">
        <w:rPr>
          <w:lang w:val="es-HN"/>
        </w:rPr>
        <w:t>reducido</w:t>
      </w:r>
      <w:r w:rsidR="00E06058" w:rsidRPr="003B04DB">
        <w:t xml:space="preserve"> </w:t>
      </w:r>
      <w:r w:rsidRPr="003B04DB">
        <w:t>potencial de incentivos de políticas que podrían favorecer un</w:t>
      </w:r>
      <w:r w:rsidRPr="009921D1">
        <w:rPr>
          <w:b/>
        </w:rPr>
        <w:t xml:space="preserve"> </w:t>
      </w:r>
      <w:r w:rsidRPr="003B04DB">
        <w:lastRenderedPageBreak/>
        <w:t xml:space="preserve">crecimiento controlado de ciudades intermedias; muchas de ellas </w:t>
      </w:r>
      <w:r w:rsidR="001C425D" w:rsidRPr="003B04DB">
        <w:t>carecen</w:t>
      </w:r>
      <w:r w:rsidR="001C425D">
        <w:t xml:space="preserve"> de</w:t>
      </w:r>
      <w:r w:rsidRPr="001B01D5">
        <w:t xml:space="preserve"> la debida preparación para recibir los flujos migratorios. </w:t>
      </w:r>
    </w:p>
    <w:p w:rsidR="001C425D" w:rsidRDefault="006F42D3" w:rsidP="00CD22F6">
      <w:pPr>
        <w:ind w:left="567" w:right="49"/>
      </w:pPr>
      <w:r w:rsidRPr="001B01D5">
        <w:t xml:space="preserve">A manera de ejemplo, se puede destacar la necesidad de diseñar medidas adecuadas a las condiciones de las ciudades en mención </w:t>
      </w:r>
      <w:r w:rsidRPr="003B04DB">
        <w:t>para regular los precios de suelos urbanizables, como prediales diferenciados, captación de plusvalías, entre otros, y así poder anticipar y financiar su</w:t>
      </w:r>
      <w:r w:rsidRPr="001B01D5">
        <w:t xml:space="preserve"> expansión planificada</w:t>
      </w:r>
      <w:r w:rsidR="001C425D">
        <w:t>.</w:t>
      </w:r>
      <w:r w:rsidRPr="001B01D5">
        <w:t xml:space="preserve"> </w:t>
      </w:r>
    </w:p>
    <w:p w:rsidR="001C425D" w:rsidRDefault="001C425D" w:rsidP="00CD22F6">
      <w:pPr>
        <w:ind w:left="567" w:right="49"/>
      </w:pPr>
      <w:r>
        <w:t>Ello permitirá</w:t>
      </w:r>
      <w:r w:rsidR="006F42D3" w:rsidRPr="001B01D5">
        <w:t xml:space="preserve"> cumplir</w:t>
      </w:r>
      <w:r>
        <w:t xml:space="preserve"> con</w:t>
      </w:r>
      <w:r w:rsidR="006F42D3" w:rsidRPr="001B01D5">
        <w:t xml:space="preserve"> las medidas de control del desarrollo</w:t>
      </w:r>
      <w:r w:rsidR="00E06058">
        <w:t xml:space="preserve"> urbano</w:t>
      </w:r>
      <w:r w:rsidR="006F42D3" w:rsidRPr="001B01D5">
        <w:t xml:space="preserve"> y evitar </w:t>
      </w:r>
      <w:r>
        <w:t xml:space="preserve">el crecimiento desordenado y la escasez </w:t>
      </w:r>
      <w:r w:rsidR="00E03ED2">
        <w:t>de</w:t>
      </w:r>
      <w:r>
        <w:t xml:space="preserve"> suelos urbanizados</w:t>
      </w:r>
      <w:r w:rsidR="006F42D3" w:rsidRPr="001B01D5">
        <w:t xml:space="preserve">. </w:t>
      </w:r>
    </w:p>
    <w:p w:rsidR="00E03ED2" w:rsidRPr="003B04DB" w:rsidRDefault="006F42D3" w:rsidP="00CD22F6">
      <w:pPr>
        <w:ind w:left="567" w:right="49"/>
      </w:pPr>
      <w:r w:rsidRPr="003B04DB">
        <w:t xml:space="preserve">Los avances en el índice del desarrollo humano van mano </w:t>
      </w:r>
      <w:r w:rsidR="00E03ED2" w:rsidRPr="003B04DB">
        <w:t>a</w:t>
      </w:r>
      <w:r w:rsidRPr="003B04DB">
        <w:t xml:space="preserve"> mano con una preocupante disminución de la densidad </w:t>
      </w:r>
      <w:r w:rsidR="00E03ED2" w:rsidRPr="003B04DB">
        <w:t>y</w:t>
      </w:r>
      <w:r w:rsidRPr="003B04DB">
        <w:t xml:space="preserve"> una expansión horizontal creciente</w:t>
      </w:r>
      <w:r w:rsidR="00E03ED2" w:rsidRPr="003B04DB">
        <w:t>.</w:t>
      </w:r>
    </w:p>
    <w:p w:rsidR="00E03ED2" w:rsidRPr="003B04DB" w:rsidRDefault="00E03ED2" w:rsidP="00CD22F6">
      <w:pPr>
        <w:ind w:left="567" w:right="49"/>
      </w:pPr>
      <w:r>
        <w:t>La</w:t>
      </w:r>
      <w:r w:rsidR="006F42D3" w:rsidRPr="001B01D5">
        <w:t xml:space="preserve"> peri-urbanización no planific</w:t>
      </w:r>
      <w:r>
        <w:t>ada de las ciudades intermedias</w:t>
      </w:r>
      <w:r w:rsidR="006F42D3" w:rsidRPr="001B01D5">
        <w:t xml:space="preserve"> plantea </w:t>
      </w:r>
      <w:r w:rsidR="006F42D3" w:rsidRPr="003B04DB">
        <w:t xml:space="preserve">desafíos para la gestión y la sostenibilidad de las mismas. </w:t>
      </w:r>
      <w:r w:rsidRPr="003B04DB">
        <w:t xml:space="preserve">Los </w:t>
      </w:r>
      <w:r w:rsidR="006F42D3" w:rsidRPr="003B04DB">
        <w:t>mayores costos de infraestructura y mantenimiento afecta</w:t>
      </w:r>
      <w:r w:rsidRPr="003B04DB">
        <w:t>n</w:t>
      </w:r>
      <w:r w:rsidR="006F42D3" w:rsidRPr="003B04DB">
        <w:t xml:space="preserve"> </w:t>
      </w:r>
      <w:r w:rsidRPr="003B04DB">
        <w:t xml:space="preserve">negativamente </w:t>
      </w:r>
      <w:r w:rsidR="006F42D3" w:rsidRPr="003B04DB">
        <w:t xml:space="preserve">la ventaja de una economía de aglomeración y </w:t>
      </w:r>
      <w:r w:rsidRPr="003B04DB">
        <w:t xml:space="preserve">provocan </w:t>
      </w:r>
      <w:r w:rsidR="006F42D3" w:rsidRPr="003B04DB">
        <w:t>la pérdida innecesaria de terreno</w:t>
      </w:r>
      <w:r w:rsidRPr="003B04DB">
        <w:t>s</w:t>
      </w:r>
      <w:r w:rsidR="006F42D3" w:rsidRPr="003B04DB">
        <w:t xml:space="preserve"> agrícola</w:t>
      </w:r>
      <w:r w:rsidRPr="003B04DB">
        <w:t>s</w:t>
      </w:r>
      <w:r w:rsidR="006F42D3" w:rsidRPr="003B04DB">
        <w:t xml:space="preserve"> y productivo</w:t>
      </w:r>
      <w:r w:rsidRPr="003B04DB">
        <w:t>s</w:t>
      </w:r>
      <w:r w:rsidR="006F42D3" w:rsidRPr="003B04DB">
        <w:t>, así como también de terreno</w:t>
      </w:r>
      <w:r w:rsidRPr="003B04DB">
        <w:t>s</w:t>
      </w:r>
      <w:r w:rsidR="006F42D3" w:rsidRPr="003B04DB">
        <w:t xml:space="preserve"> de alto valor ambiental. </w:t>
      </w:r>
    </w:p>
    <w:p w:rsidR="00E03ED2" w:rsidRPr="003B04DB" w:rsidRDefault="00E03ED2" w:rsidP="00CD22F6">
      <w:pPr>
        <w:ind w:left="567" w:right="49"/>
      </w:pPr>
      <w:r w:rsidRPr="003B04DB">
        <w:t>También es necesario</w:t>
      </w:r>
      <w:r w:rsidR="006F42D3" w:rsidRPr="003B04DB">
        <w:t xml:space="preserve"> </w:t>
      </w:r>
      <w:r w:rsidRPr="003B04DB">
        <w:t>contrarrestar</w:t>
      </w:r>
      <w:r w:rsidR="006F42D3" w:rsidRPr="003B04DB">
        <w:t xml:space="preserve"> la tendencia de “</w:t>
      </w:r>
      <w:r w:rsidR="006F42D3" w:rsidRPr="003B04DB">
        <w:rPr>
          <w:i/>
        </w:rPr>
        <w:t>Colonización</w:t>
      </w:r>
      <w:r w:rsidRPr="003B04DB">
        <w:t xml:space="preserve">” urbana, </w:t>
      </w:r>
      <w:r w:rsidR="006F42D3" w:rsidRPr="003B04DB">
        <w:t>o pr</w:t>
      </w:r>
      <w:r w:rsidRPr="003B04DB">
        <w:t xml:space="preserve">opagación de suburbios cerrados, </w:t>
      </w:r>
      <w:r w:rsidR="006F42D3" w:rsidRPr="003B04DB">
        <w:t>que provoca</w:t>
      </w:r>
      <w:r w:rsidRPr="003B04DB">
        <w:t xml:space="preserve"> una nociva</w:t>
      </w:r>
      <w:r w:rsidR="006F42D3" w:rsidRPr="003B04DB">
        <w:t xml:space="preserve"> segregación socio-territorial. Estas tendencias son comunes, pero con mayor impacto en países densamente poblados. </w:t>
      </w:r>
    </w:p>
    <w:p w:rsidR="00E03ED2" w:rsidRPr="00A1046A" w:rsidRDefault="006F42D3" w:rsidP="00CD22F6">
      <w:pPr>
        <w:ind w:left="567" w:right="49"/>
      </w:pPr>
      <w:r w:rsidRPr="00A1046A">
        <w:t xml:space="preserve">Razón por la cual es </w:t>
      </w:r>
      <w:r w:rsidR="00E03ED2" w:rsidRPr="00A1046A">
        <w:t>recomendable</w:t>
      </w:r>
      <w:r w:rsidRPr="00A1046A">
        <w:t xml:space="preserve"> buscar innovaciones en el conjunto de los países </w:t>
      </w:r>
      <w:r w:rsidR="00A1046A">
        <w:t>de la Región</w:t>
      </w:r>
      <w:r w:rsidRPr="00A1046A">
        <w:t>, como por ejemplo en el refuerzo de procesos de regeneración y renovación urbana, incluso mejoramientos de asentamientos informales</w:t>
      </w:r>
      <w:r w:rsidR="00A1046A">
        <w:t>, todo</w:t>
      </w:r>
      <w:r w:rsidRPr="00A1046A">
        <w:t xml:space="preserve"> en contraste a la tendencia de la expansión horizontal. </w:t>
      </w:r>
    </w:p>
    <w:p w:rsidR="00533F6A" w:rsidRPr="00A1046A" w:rsidRDefault="006F42D3" w:rsidP="00533F6A">
      <w:pPr>
        <w:ind w:left="567" w:right="49"/>
      </w:pPr>
      <w:r w:rsidRPr="00A1046A">
        <w:t xml:space="preserve">También queremos enfatizar el valor de un </w:t>
      </w:r>
      <w:r w:rsidR="00CD22F6" w:rsidRPr="00A1046A">
        <w:t>en</w:t>
      </w:r>
      <w:r w:rsidRPr="00A1046A">
        <w:t xml:space="preserve">tramado de funciones urbanas variadas, la mezcla de usos con el fin de mantener la "buena vitalidad" de la ciudad y </w:t>
      </w:r>
      <w:r w:rsidR="00CD22F6" w:rsidRPr="00A1046A">
        <w:t>el fomento de</w:t>
      </w:r>
      <w:r w:rsidRPr="00A1046A">
        <w:t xml:space="preserve"> los factores de proximidad, para mejorar la calidad de vida y la inclusión social. </w:t>
      </w:r>
    </w:p>
    <w:p w:rsidR="006F42D3" w:rsidRDefault="00533F6A" w:rsidP="00CD22F6">
      <w:pPr>
        <w:ind w:left="567" w:right="49"/>
      </w:pPr>
      <w:r>
        <w:rPr>
          <w:lang w:val="es-HN"/>
        </w:rPr>
        <w:t xml:space="preserve">Contamos ya con herramientas </w:t>
      </w:r>
      <w:r w:rsidRPr="001B01D5">
        <w:rPr>
          <w:lang w:val="es-HN"/>
        </w:rPr>
        <w:t xml:space="preserve">y esfuerzos concretos realizados </w:t>
      </w:r>
      <w:r>
        <w:rPr>
          <w:lang w:val="es-HN"/>
        </w:rPr>
        <w:t xml:space="preserve">regionalmente, </w:t>
      </w:r>
      <w:r w:rsidRPr="001B01D5">
        <w:rPr>
          <w:lang w:val="es-HN"/>
        </w:rPr>
        <w:t>como la Estrategia Centroamericana de Vivienda y Asentamientos Humanos y la Agenda de Ordenamiento Territorial del Consejo Centroamericano de Vivienda y A</w:t>
      </w:r>
      <w:r>
        <w:rPr>
          <w:lang w:val="es-HN"/>
        </w:rPr>
        <w:t>sentamientos Humanos,</w:t>
      </w:r>
      <w:r w:rsidRPr="001B01D5">
        <w:rPr>
          <w:lang w:val="es-HN"/>
        </w:rPr>
        <w:t xml:space="preserve"> que incluye</w:t>
      </w:r>
      <w:r>
        <w:rPr>
          <w:lang w:val="es-HN"/>
        </w:rPr>
        <w:t>n</w:t>
      </w:r>
      <w:r w:rsidRPr="001B01D5">
        <w:rPr>
          <w:lang w:val="es-HN"/>
        </w:rPr>
        <w:t xml:space="preserve"> aspectos p</w:t>
      </w:r>
      <w:r>
        <w:rPr>
          <w:lang w:val="es-HN"/>
        </w:rPr>
        <w:t>rominentes de una agenda urbana</w:t>
      </w:r>
      <w:r w:rsidRPr="001B01D5">
        <w:rPr>
          <w:lang w:val="es-HN"/>
        </w:rPr>
        <w:t xml:space="preserve">. </w:t>
      </w:r>
    </w:p>
    <w:p w:rsidR="000B1C68" w:rsidRDefault="000B1C68">
      <w:pPr>
        <w:jc w:val="left"/>
        <w:rPr>
          <w:b/>
        </w:rPr>
      </w:pPr>
      <w:r>
        <w:rPr>
          <w:b/>
        </w:rPr>
        <w:br w:type="page"/>
      </w:r>
    </w:p>
    <w:p w:rsidR="006F42D3" w:rsidRPr="00C425C2" w:rsidRDefault="006550C3" w:rsidP="00533F6A">
      <w:pPr>
        <w:ind w:left="567"/>
        <w:jc w:val="left"/>
        <w:rPr>
          <w:b/>
          <w:color w:val="BFBFBF" w:themeColor="background1" w:themeShade="BF"/>
        </w:rPr>
      </w:pPr>
      <w:r w:rsidRPr="00C425C2">
        <w:rPr>
          <w:b/>
          <w:color w:val="BFBFBF" w:themeColor="background1" w:themeShade="BF"/>
        </w:rPr>
        <w:lastRenderedPageBreak/>
        <w:t>¿</w:t>
      </w:r>
      <w:r w:rsidR="006F42D3" w:rsidRPr="00C425C2">
        <w:rPr>
          <w:b/>
          <w:color w:val="BFBFBF" w:themeColor="background1" w:themeShade="BF"/>
        </w:rPr>
        <w:t>Qué anhelamos?</w:t>
      </w:r>
    </w:p>
    <w:p w:rsidR="006F42D3" w:rsidRPr="001B01D5" w:rsidRDefault="006F42D3" w:rsidP="00CD22F6">
      <w:pPr>
        <w:ind w:left="567" w:right="49"/>
      </w:pPr>
      <w:r w:rsidRPr="001B01D5">
        <w:t xml:space="preserve">Estamos convencidos de la importancia que reviste establecer el derecho a la ciudad para todos, no sólo previendo un desarrollo inmobiliario sostenible, sino también </w:t>
      </w:r>
      <w:r w:rsidR="00CD22F6">
        <w:t>promoviendo</w:t>
      </w:r>
      <w:r w:rsidRPr="001B01D5">
        <w:t xml:space="preserve"> la accesibilidad y asequibilidad a la urbe.</w:t>
      </w:r>
    </w:p>
    <w:p w:rsidR="00CD22F6" w:rsidRDefault="006F42D3" w:rsidP="00CD22F6">
      <w:pPr>
        <w:ind w:left="567" w:right="49"/>
      </w:pPr>
      <w:r w:rsidRPr="001B01D5">
        <w:t xml:space="preserve">Los instrumentos </w:t>
      </w:r>
      <w:r w:rsidR="00932AD8">
        <w:t>de gestión territorial y de suelo urbano</w:t>
      </w:r>
      <w:r w:rsidRPr="001B01D5">
        <w:t xml:space="preserve"> recogen y dan respuesta</w:t>
      </w:r>
      <w:r w:rsidR="00932AD8">
        <w:t>s</w:t>
      </w:r>
      <w:r w:rsidRPr="001B01D5">
        <w:t xml:space="preserve"> prospectiva</w:t>
      </w:r>
      <w:r w:rsidR="00932AD8">
        <w:t>s</w:t>
      </w:r>
      <w:r w:rsidRPr="001B01D5">
        <w:t xml:space="preserve"> a la alta presión que muchas ciudades intermedias están experimentando por un crecimiento rápido, y</w:t>
      </w:r>
      <w:r w:rsidR="00CD22F6">
        <w:t xml:space="preserve"> a</w:t>
      </w:r>
      <w:r w:rsidRPr="001B01D5">
        <w:t xml:space="preserve"> las dificultades para gestionar el desarrollo urbano y responder a nuevas necesidades de vivienda, terreno, infraestructura y servicios básicos</w:t>
      </w:r>
      <w:r w:rsidR="00CD22F6">
        <w:t>.</w:t>
      </w:r>
    </w:p>
    <w:p w:rsidR="006F42D3" w:rsidRPr="001B01D5" w:rsidRDefault="00CD22F6" w:rsidP="00CD22F6">
      <w:pPr>
        <w:ind w:left="567" w:right="49"/>
      </w:pPr>
      <w:r>
        <w:t>A</w:t>
      </w:r>
      <w:r w:rsidR="006F42D3" w:rsidRPr="001B01D5">
        <w:t xml:space="preserve">demás atienden en sus objetivos específicos a </w:t>
      </w:r>
      <w:r w:rsidR="00932AD8">
        <w:t xml:space="preserve">la necesidad </w:t>
      </w:r>
      <w:r w:rsidR="006F42D3" w:rsidRPr="001B01D5">
        <w:t xml:space="preserve">de </w:t>
      </w:r>
      <w:r w:rsidR="00932AD8">
        <w:t>generar competitividad territorial y desarrollar</w:t>
      </w:r>
      <w:r w:rsidR="006F42D3" w:rsidRPr="001B01D5">
        <w:t xml:space="preserve"> ventajas comparativas en términos de viabilidad económica, cohesión social</w:t>
      </w:r>
      <w:r w:rsidR="00932AD8">
        <w:t xml:space="preserve">, calidad de vida y </w:t>
      </w:r>
      <w:r w:rsidR="006F42D3" w:rsidRPr="001B01D5">
        <w:t xml:space="preserve">sostenibilidad ambiental. </w:t>
      </w:r>
    </w:p>
    <w:p w:rsidR="006F42D3" w:rsidRPr="001B01D5" w:rsidRDefault="006F42D3" w:rsidP="00CD22F6">
      <w:pPr>
        <w:ind w:left="567" w:right="49"/>
      </w:pPr>
      <w:r w:rsidRPr="001B01D5">
        <w:t xml:space="preserve">Un enfoque holístico e inclusivo para el desarrollo urbano sostenible desafía las dimensiones institucionales, instrumentales y de la interacción entre los actores. </w:t>
      </w:r>
      <w:r w:rsidR="008F6CA7">
        <w:t>Privilegia</w:t>
      </w:r>
      <w:r w:rsidR="008F6CA7" w:rsidRPr="001B01D5">
        <w:t xml:space="preserve"> </w:t>
      </w:r>
      <w:r w:rsidRPr="001B01D5">
        <w:t xml:space="preserve">los procesos de participación </w:t>
      </w:r>
      <w:r w:rsidR="008F6CA7">
        <w:t>y</w:t>
      </w:r>
      <w:r w:rsidRPr="001B01D5">
        <w:t xml:space="preserve"> el </w:t>
      </w:r>
      <w:r w:rsidR="008F6CA7">
        <w:t xml:space="preserve">pleno ejercicio de la ciudadanía, así como </w:t>
      </w:r>
      <w:r w:rsidRPr="001B01D5">
        <w:t xml:space="preserve">la realización de todos los derechos humanos, incluido el derecho a ser parte del desarrollo. </w:t>
      </w:r>
    </w:p>
    <w:p w:rsidR="006F42D3" w:rsidRPr="001B01D5" w:rsidRDefault="006F42D3" w:rsidP="00CD22F6">
      <w:pPr>
        <w:ind w:left="567" w:right="49"/>
      </w:pPr>
      <w:r w:rsidRPr="001B01D5">
        <w:t xml:space="preserve">Ya no basta consultar a la ciudadanía, ya que innovaciones en los procesos de participación tienen que incluir el principio de la contra corriente (política en red) y la coordinación multinivel y multidimensional, </w:t>
      </w:r>
      <w:r w:rsidR="008F6CA7">
        <w:t xml:space="preserve">así como </w:t>
      </w:r>
      <w:r w:rsidRPr="001B01D5">
        <w:t xml:space="preserve">la participación horizontal y vertical. Esto significa también el ejercicio de una participación temprana ampliada y a lo largo del ciclo de </w:t>
      </w:r>
      <w:r w:rsidR="008F6CA7">
        <w:t xml:space="preserve">la </w:t>
      </w:r>
      <w:r w:rsidRPr="001B01D5">
        <w:t xml:space="preserve">gestión, con el logro de empoderar grupos marginalizados </w:t>
      </w:r>
      <w:r w:rsidR="008F6CA7">
        <w:t>o</w:t>
      </w:r>
      <w:r w:rsidRPr="001B01D5">
        <w:t xml:space="preserve"> sub-representados mediante un enfoque de inclusión. </w:t>
      </w:r>
    </w:p>
    <w:p w:rsidR="006F42D3" w:rsidRPr="001B01D5" w:rsidRDefault="006F42D3" w:rsidP="00CD22F6">
      <w:pPr>
        <w:ind w:left="567" w:right="49"/>
        <w:rPr>
          <w:lang w:val="es-HN"/>
        </w:rPr>
      </w:pPr>
      <w:r w:rsidRPr="001B01D5">
        <w:t xml:space="preserve">El afán de </w:t>
      </w:r>
      <w:r w:rsidRPr="001B01D5">
        <w:rPr>
          <w:i/>
          <w:lang w:val="es-HN"/>
        </w:rPr>
        <w:t>habilitar</w:t>
      </w:r>
      <w:r w:rsidRPr="001B01D5">
        <w:rPr>
          <w:lang w:val="es-HN"/>
        </w:rPr>
        <w:t xml:space="preserve"> plenamente las capacidades de ciudades intermedias para desempeñar mejor su rol y el ejercicio de sus funciones, reviste un carácter </w:t>
      </w:r>
      <w:r w:rsidRPr="00A1046A">
        <w:rPr>
          <w:lang w:val="es-HN"/>
        </w:rPr>
        <w:t>preventivo</w:t>
      </w:r>
      <w:r w:rsidRPr="001B01D5">
        <w:rPr>
          <w:lang w:val="es-HN"/>
        </w:rPr>
        <w:t xml:space="preserve">, de cara a su rápido crecimiento. </w:t>
      </w:r>
    </w:p>
    <w:p w:rsidR="00002A3B" w:rsidRDefault="00002A3B" w:rsidP="00002A3B">
      <w:pPr>
        <w:ind w:left="567" w:right="49"/>
        <w:rPr>
          <w:lang w:val="es-HN"/>
        </w:rPr>
      </w:pPr>
      <w:r>
        <w:rPr>
          <w:lang w:val="es-HN"/>
        </w:rPr>
        <w:t>Entre otros se busca</w:t>
      </w:r>
      <w:r w:rsidRPr="001B01D5">
        <w:rPr>
          <w:lang w:val="es-HN"/>
        </w:rPr>
        <w:t xml:space="preserve"> la protección de la Región frente al desafío del cambio climático, el desempleo, el déficit de infraestruc</w:t>
      </w:r>
      <w:r>
        <w:rPr>
          <w:lang w:val="es-HN"/>
        </w:rPr>
        <w:t xml:space="preserve">tura de conectividad regional </w:t>
      </w:r>
      <w:r w:rsidRPr="001B01D5">
        <w:rPr>
          <w:lang w:val="es-HN"/>
        </w:rPr>
        <w:t xml:space="preserve">o transfronteriza, </w:t>
      </w:r>
      <w:r>
        <w:rPr>
          <w:lang w:val="es-HN"/>
        </w:rPr>
        <w:t xml:space="preserve">el déficit de vivienda, </w:t>
      </w:r>
      <w:r w:rsidRPr="001B01D5">
        <w:rPr>
          <w:lang w:val="es-HN"/>
        </w:rPr>
        <w:t>seguridad alimentaria</w:t>
      </w:r>
      <w:r w:rsidR="00504560">
        <w:rPr>
          <w:lang w:val="es-HN"/>
        </w:rPr>
        <w:t>,</w:t>
      </w:r>
      <w:r w:rsidRPr="001B01D5">
        <w:rPr>
          <w:lang w:val="es-HN"/>
        </w:rPr>
        <w:t xml:space="preserve"> seguridad</w:t>
      </w:r>
      <w:r>
        <w:rPr>
          <w:lang w:val="es-HN"/>
        </w:rPr>
        <w:t xml:space="preserve"> ciudadana</w:t>
      </w:r>
      <w:r w:rsidR="00504560">
        <w:rPr>
          <w:lang w:val="es-HN"/>
        </w:rPr>
        <w:t xml:space="preserve"> y</w:t>
      </w:r>
      <w:r w:rsidR="00504560" w:rsidRPr="00504560">
        <w:rPr>
          <w:lang w:val="es-HN"/>
        </w:rPr>
        <w:t xml:space="preserve"> </w:t>
      </w:r>
      <w:r w:rsidR="00504560">
        <w:rPr>
          <w:lang w:val="es-HN"/>
        </w:rPr>
        <w:t xml:space="preserve">la migración de población a las grandes urbes o a países vecinos, </w:t>
      </w:r>
      <w:r>
        <w:rPr>
          <w:lang w:val="es-HN"/>
        </w:rPr>
        <w:t>al igual que mejoras en la</w:t>
      </w:r>
      <w:r w:rsidRPr="00381ABB">
        <w:rPr>
          <w:lang w:val="es-HN"/>
        </w:rPr>
        <w:t xml:space="preserve"> </w:t>
      </w:r>
      <w:r w:rsidRPr="001B01D5">
        <w:rPr>
          <w:lang w:val="es-HN"/>
        </w:rPr>
        <w:t>gobernanza</w:t>
      </w:r>
      <w:r>
        <w:rPr>
          <w:lang w:val="es-HN"/>
        </w:rPr>
        <w:t xml:space="preserve"> territorial. </w:t>
      </w:r>
    </w:p>
    <w:p w:rsidR="00002A3B" w:rsidRPr="001B01D5" w:rsidRDefault="00002A3B" w:rsidP="00002A3B">
      <w:pPr>
        <w:ind w:left="567" w:right="49"/>
        <w:rPr>
          <w:lang w:val="es-HN"/>
        </w:rPr>
      </w:pPr>
      <w:r>
        <w:rPr>
          <w:lang w:val="es-HN"/>
        </w:rPr>
        <w:t>Finalmente facilita</w:t>
      </w:r>
      <w:r w:rsidRPr="001B01D5">
        <w:rPr>
          <w:lang w:val="es-HN"/>
        </w:rPr>
        <w:t xml:space="preserve"> identifica</w:t>
      </w:r>
      <w:r>
        <w:rPr>
          <w:lang w:val="es-HN"/>
        </w:rPr>
        <w:t>r y definir</w:t>
      </w:r>
      <w:r w:rsidRPr="001B01D5">
        <w:rPr>
          <w:lang w:val="es-HN"/>
        </w:rPr>
        <w:t xml:space="preserve"> políticas, procesos y proyectos regionales que permitan a la Región avanzar de manera conjunta</w:t>
      </w:r>
      <w:r w:rsidR="00504560">
        <w:rPr>
          <w:lang w:val="es-HN"/>
        </w:rPr>
        <w:t xml:space="preserve"> con una visión de desarrollo centrada en las personas</w:t>
      </w:r>
      <w:r w:rsidRPr="001B01D5">
        <w:rPr>
          <w:lang w:val="es-HN"/>
        </w:rPr>
        <w:t xml:space="preserve">. </w:t>
      </w:r>
    </w:p>
    <w:p w:rsidR="008F6CA7" w:rsidRDefault="006F42D3" w:rsidP="00CD22F6">
      <w:pPr>
        <w:ind w:left="567" w:right="49"/>
      </w:pPr>
      <w:r w:rsidRPr="001B01D5">
        <w:lastRenderedPageBreak/>
        <w:t xml:space="preserve">De cara a la perspectiva regional, es menester buscar políticas e intervenciones que incluyan la integración de los proyectos de movilidad regional para facilitar el acceso logístico general a las ciudades de la red. </w:t>
      </w:r>
    </w:p>
    <w:p w:rsidR="006F42D3" w:rsidRPr="001B01D5" w:rsidRDefault="008F6CA7" w:rsidP="00CD22F6">
      <w:pPr>
        <w:ind w:left="567" w:right="49"/>
      </w:pPr>
      <w:r>
        <w:t>Esto puede incluir</w:t>
      </w:r>
      <w:r w:rsidR="006F42D3" w:rsidRPr="001B01D5">
        <w:t xml:space="preserve"> el compromiso político y financiero para desarrollar infraestructuras troncales sostenibles y sistemas de transporte colectivo a distancias relativamente “medianas”. </w:t>
      </w:r>
    </w:p>
    <w:p w:rsidR="000B1C68" w:rsidRDefault="000B1C68">
      <w:pPr>
        <w:jc w:val="left"/>
        <w:rPr>
          <w:b/>
        </w:rPr>
      </w:pPr>
      <w:r>
        <w:rPr>
          <w:b/>
        </w:rPr>
        <w:br w:type="page"/>
      </w:r>
    </w:p>
    <w:p w:rsidR="006F42D3" w:rsidRPr="00C425C2" w:rsidRDefault="006F42D3" w:rsidP="00CD22F6">
      <w:pPr>
        <w:ind w:left="567" w:right="49"/>
        <w:jc w:val="left"/>
        <w:rPr>
          <w:b/>
          <w:color w:val="BFBFBF" w:themeColor="background1" w:themeShade="BF"/>
        </w:rPr>
      </w:pPr>
      <w:r w:rsidRPr="00C425C2">
        <w:rPr>
          <w:b/>
          <w:color w:val="BFBFBF" w:themeColor="background1" w:themeShade="BF"/>
        </w:rPr>
        <w:lastRenderedPageBreak/>
        <w:t>¿Cómo lo queremos lograr?</w:t>
      </w:r>
    </w:p>
    <w:p w:rsidR="00057E08" w:rsidRPr="001B01D5" w:rsidRDefault="00057E08" w:rsidP="00CD22F6">
      <w:pPr>
        <w:ind w:left="567" w:right="49"/>
      </w:pPr>
      <w:r w:rsidRPr="001B01D5">
        <w:rPr>
          <w:lang w:val="es-HN"/>
        </w:rPr>
        <w:t xml:space="preserve">La </w:t>
      </w:r>
      <w:r w:rsidRPr="001B01D5">
        <w:rPr>
          <w:b/>
          <w:lang w:val="es-HN"/>
        </w:rPr>
        <w:t>red de ciudades intermedias</w:t>
      </w:r>
      <w:r w:rsidRPr="001B01D5">
        <w:rPr>
          <w:lang w:val="es-HN"/>
        </w:rPr>
        <w:t xml:space="preserve"> del área </w:t>
      </w:r>
      <w:r w:rsidR="00504560">
        <w:rPr>
          <w:lang w:val="es-HN"/>
        </w:rPr>
        <w:t>C</w:t>
      </w:r>
      <w:r w:rsidRPr="001B01D5">
        <w:rPr>
          <w:lang w:val="es-HN"/>
        </w:rPr>
        <w:t xml:space="preserve">entroamericana y República Dominicana que proponemos, permitirá facilitar la búsqueda de la reducción de la pobreza, de las desigualdades sociales y económicas entre países, asegurando su prosperidad económica como parte de la nueva agenda de desarrollo, </w:t>
      </w:r>
      <w:r w:rsidR="008F6CA7">
        <w:rPr>
          <w:lang w:val="es-HN"/>
        </w:rPr>
        <w:t xml:space="preserve">tal y </w:t>
      </w:r>
      <w:r w:rsidRPr="001B01D5">
        <w:rPr>
          <w:lang w:val="es-HN"/>
        </w:rPr>
        <w:t>como lo sugieren los Objetivos de Desarrollo Sostenible (ODS)</w:t>
      </w:r>
      <w:r w:rsidRPr="001B01D5">
        <w:t xml:space="preserve">. </w:t>
      </w:r>
    </w:p>
    <w:p w:rsidR="00E32143" w:rsidRDefault="00057E08" w:rsidP="00CD22F6">
      <w:pPr>
        <w:ind w:left="567" w:right="49"/>
        <w:rPr>
          <w:lang w:val="es-HN"/>
        </w:rPr>
      </w:pPr>
      <w:r w:rsidRPr="001B01D5">
        <w:t>L</w:t>
      </w:r>
      <w:r w:rsidRPr="001B01D5">
        <w:rPr>
          <w:lang w:val="es-HN"/>
        </w:rPr>
        <w:t>a red de ciudades intermedias permitirá el trabajo en conjunto para la búsqueda de soluciones a problemas comunes de la región</w:t>
      </w:r>
      <w:r w:rsidR="008F6CA7">
        <w:rPr>
          <w:lang w:val="es-HN"/>
        </w:rPr>
        <w:t xml:space="preserve"> y pondrá en valor su capital territorial actualmente subutilizado</w:t>
      </w:r>
      <w:r w:rsidR="00E32143">
        <w:rPr>
          <w:lang w:val="es-HN"/>
        </w:rPr>
        <w:t xml:space="preserve">. </w:t>
      </w:r>
    </w:p>
    <w:p w:rsidR="00381ABB" w:rsidRDefault="00057E08" w:rsidP="00CD22F6">
      <w:pPr>
        <w:ind w:left="567" w:right="49"/>
        <w:rPr>
          <w:lang w:val="es-HN"/>
        </w:rPr>
      </w:pPr>
      <w:r w:rsidRPr="001B01D5">
        <w:rPr>
          <w:lang w:val="es-HN"/>
        </w:rPr>
        <w:t xml:space="preserve">Buscamos a través de la red de ciudades tener mayor incidencia como </w:t>
      </w:r>
      <w:r w:rsidR="00381ABB" w:rsidRPr="001B01D5">
        <w:rPr>
          <w:lang w:val="es-HN"/>
        </w:rPr>
        <w:t xml:space="preserve">Región </w:t>
      </w:r>
      <w:r w:rsidRPr="001B01D5">
        <w:rPr>
          <w:lang w:val="es-HN"/>
        </w:rPr>
        <w:t xml:space="preserve">aportando significativamente en experiencias, en compromisos con agendas globales y a la vez </w:t>
      </w:r>
      <w:r w:rsidR="00381ABB">
        <w:rPr>
          <w:lang w:val="es-HN"/>
        </w:rPr>
        <w:t>fortalecer</w:t>
      </w:r>
      <w:r w:rsidRPr="001B01D5">
        <w:rPr>
          <w:lang w:val="es-HN"/>
        </w:rPr>
        <w:t xml:space="preserve"> el proceso de integración</w:t>
      </w:r>
      <w:r w:rsidR="00381ABB">
        <w:rPr>
          <w:lang w:val="es-HN"/>
        </w:rPr>
        <w:t xml:space="preserve">. </w:t>
      </w:r>
    </w:p>
    <w:p w:rsidR="00057E08" w:rsidRPr="001B01D5" w:rsidRDefault="00057E08" w:rsidP="00CD22F6">
      <w:pPr>
        <w:ind w:left="567" w:right="49"/>
        <w:rPr>
          <w:lang w:val="es-HN"/>
        </w:rPr>
      </w:pPr>
      <w:r w:rsidRPr="001B01D5">
        <w:rPr>
          <w:lang w:val="es-HN"/>
        </w:rPr>
        <w:t xml:space="preserve">A la vez existe la conciencia de que la finalidad de la red generará </w:t>
      </w:r>
      <w:r w:rsidR="00381ABB">
        <w:rPr>
          <w:lang w:val="es-HN"/>
        </w:rPr>
        <w:t>un esfuerzo complementario con las asociaciones municipales</w:t>
      </w:r>
      <w:r w:rsidRPr="001B01D5">
        <w:rPr>
          <w:lang w:val="es-HN"/>
        </w:rPr>
        <w:t>, dado que atenderá a temas con</w:t>
      </w:r>
      <w:r w:rsidR="00381ABB">
        <w:rPr>
          <w:lang w:val="es-HN"/>
        </w:rPr>
        <w:t xml:space="preserve"> visión regional centroamericana</w:t>
      </w:r>
      <w:r w:rsidRPr="001B01D5">
        <w:rPr>
          <w:lang w:val="es-HN"/>
        </w:rPr>
        <w:t xml:space="preserve"> que </w:t>
      </w:r>
      <w:r w:rsidR="00381ABB">
        <w:rPr>
          <w:lang w:val="es-HN"/>
        </w:rPr>
        <w:t>complementarán</w:t>
      </w:r>
      <w:r w:rsidRPr="001B01D5">
        <w:rPr>
          <w:lang w:val="es-HN"/>
        </w:rPr>
        <w:t xml:space="preserve"> la suma de estrategias locales de cada país.</w:t>
      </w:r>
    </w:p>
    <w:p w:rsidR="00057E08" w:rsidRPr="001B01D5" w:rsidRDefault="00057E08" w:rsidP="00CD22F6">
      <w:pPr>
        <w:ind w:left="567" w:right="49"/>
        <w:rPr>
          <w:lang w:val="es-HN"/>
        </w:rPr>
      </w:pPr>
      <w:r w:rsidRPr="001B01D5">
        <w:rPr>
          <w:lang w:val="es-HN"/>
        </w:rPr>
        <w:t>Así la red asumirá funciones que facilitarán con mayor eficiencia la promoción de un desarrollo urbano</w:t>
      </w:r>
      <w:r w:rsidR="00381ABB">
        <w:rPr>
          <w:lang w:val="es-HN"/>
        </w:rPr>
        <w:t>-rural</w:t>
      </w:r>
      <w:r w:rsidRPr="001B01D5">
        <w:rPr>
          <w:lang w:val="es-HN"/>
        </w:rPr>
        <w:t xml:space="preserve"> sostenible, m</w:t>
      </w:r>
      <w:r w:rsidR="00381ABB">
        <w:rPr>
          <w:lang w:val="es-HN"/>
        </w:rPr>
        <w:t>ediante el fortalecimiento de l</w:t>
      </w:r>
      <w:r w:rsidRPr="001B01D5">
        <w:rPr>
          <w:lang w:val="es-HN"/>
        </w:rPr>
        <w:t xml:space="preserve">as identidades </w:t>
      </w:r>
      <w:r w:rsidR="00381ABB">
        <w:rPr>
          <w:lang w:val="es-HN"/>
        </w:rPr>
        <w:t>territoriales,</w:t>
      </w:r>
      <w:r w:rsidRPr="001B01D5">
        <w:rPr>
          <w:lang w:val="es-HN"/>
        </w:rPr>
        <w:t xml:space="preserve"> regionales, ambientales y culturales de las ciudades, fomentando la calidad de vida y el desarrollo de la economía regional. </w:t>
      </w:r>
    </w:p>
    <w:p w:rsidR="00DA3581" w:rsidRDefault="00DA3581" w:rsidP="00CD22F6">
      <w:pPr>
        <w:ind w:left="567" w:right="49"/>
        <w:rPr>
          <w:lang w:val="es-HN"/>
        </w:rPr>
      </w:pPr>
      <w:r>
        <w:rPr>
          <w:lang w:val="es-HN"/>
        </w:rPr>
        <w:t xml:space="preserve">Con ello </w:t>
      </w:r>
      <w:r w:rsidR="00976934">
        <w:rPr>
          <w:lang w:val="es-HN"/>
        </w:rPr>
        <w:t xml:space="preserve">se </w:t>
      </w:r>
      <w:r>
        <w:rPr>
          <w:lang w:val="es-HN"/>
        </w:rPr>
        <w:t>puede h</w:t>
      </w:r>
      <w:r w:rsidR="00057E08" w:rsidRPr="001B01D5">
        <w:rPr>
          <w:lang w:val="es-HN"/>
        </w:rPr>
        <w:t>abilitar, medi</w:t>
      </w:r>
      <w:r>
        <w:rPr>
          <w:lang w:val="es-HN"/>
        </w:rPr>
        <w:t>ante el apoyo mutuo</w:t>
      </w:r>
      <w:r w:rsidR="00057E08" w:rsidRPr="001B01D5">
        <w:rPr>
          <w:lang w:val="es-HN"/>
        </w:rPr>
        <w:t xml:space="preserve">, las capacidades de ciudades intermedias para desempeñar mejor su rol y el ejercicio de sus funciones, atendiendo al reto establecido en la </w:t>
      </w:r>
      <w:r>
        <w:rPr>
          <w:lang w:val="es-HN"/>
        </w:rPr>
        <w:t>Nueva Agenda Urbana.</w:t>
      </w:r>
    </w:p>
    <w:p w:rsidR="00DA3581" w:rsidRDefault="00DA3581" w:rsidP="00CD22F6">
      <w:pPr>
        <w:ind w:left="567" w:right="49"/>
        <w:rPr>
          <w:lang w:val="es-HN"/>
        </w:rPr>
      </w:pPr>
      <w:r>
        <w:rPr>
          <w:lang w:val="es-HN"/>
        </w:rPr>
        <w:t>Se logrará sobre todo</w:t>
      </w:r>
      <w:r w:rsidR="00057E08" w:rsidRPr="001B01D5">
        <w:rPr>
          <w:lang w:val="es-HN"/>
        </w:rPr>
        <w:t xml:space="preserve"> proponer normativas y regulaciones más adecuadas de planificación para el diseño, producción y gestión de asentamientos hu</w:t>
      </w:r>
      <w:r>
        <w:rPr>
          <w:lang w:val="es-HN"/>
        </w:rPr>
        <w:t xml:space="preserve">manos eficientes y equitativos, y a los niveles nacionales donde se incidirá en la transformación de los centros metropolitanos. </w:t>
      </w:r>
    </w:p>
    <w:p w:rsidR="00DA3581" w:rsidRDefault="00211300" w:rsidP="00CD22F6">
      <w:pPr>
        <w:ind w:left="567" w:right="49"/>
        <w:rPr>
          <w:lang w:val="es-HN"/>
        </w:rPr>
      </w:pPr>
      <w:r>
        <w:rPr>
          <w:lang w:val="es-HN"/>
        </w:rPr>
        <w:t>La Red puede generar espacios y mecanismos</w:t>
      </w:r>
      <w:r w:rsidR="00057E08" w:rsidRPr="001B01D5">
        <w:rPr>
          <w:lang w:val="es-HN"/>
        </w:rPr>
        <w:t xml:space="preserve"> para la planificación y el diseño urbano cualitativo e inclusivo, y la mejora de siste</w:t>
      </w:r>
      <w:r>
        <w:rPr>
          <w:lang w:val="es-HN"/>
        </w:rPr>
        <w:t xml:space="preserve">mas de financiamiento municipal </w:t>
      </w:r>
      <w:r w:rsidR="00057E08" w:rsidRPr="001B01D5">
        <w:rPr>
          <w:lang w:val="es-HN"/>
        </w:rPr>
        <w:t xml:space="preserve">para garantizar </w:t>
      </w:r>
      <w:r w:rsidR="00DA3581">
        <w:rPr>
          <w:lang w:val="es-HN"/>
        </w:rPr>
        <w:t xml:space="preserve">una </w:t>
      </w:r>
      <w:r w:rsidR="00DA3581" w:rsidRPr="001B01D5">
        <w:rPr>
          <w:lang w:val="es-HN"/>
        </w:rPr>
        <w:t>gestión eficaz</w:t>
      </w:r>
      <w:r>
        <w:rPr>
          <w:lang w:val="es-HN"/>
        </w:rPr>
        <w:t>, eficiente y transparente</w:t>
      </w:r>
      <w:r w:rsidR="00DA3581" w:rsidRPr="001B01D5">
        <w:rPr>
          <w:lang w:val="es-HN"/>
        </w:rPr>
        <w:t xml:space="preserve"> </w:t>
      </w:r>
      <w:r w:rsidR="00DA3581">
        <w:rPr>
          <w:lang w:val="es-HN"/>
        </w:rPr>
        <w:t xml:space="preserve">que promueva y facilite la </w:t>
      </w:r>
      <w:r w:rsidR="00DA3581" w:rsidRPr="00DA3581">
        <w:rPr>
          <w:lang w:val="es-HN"/>
        </w:rPr>
        <w:t xml:space="preserve"> </w:t>
      </w:r>
      <w:r w:rsidR="00DA3581">
        <w:rPr>
          <w:lang w:val="es-HN"/>
        </w:rPr>
        <w:t>inversión.</w:t>
      </w:r>
    </w:p>
    <w:p w:rsidR="00057E08" w:rsidRPr="001B01D5" w:rsidRDefault="00057E08" w:rsidP="00CD22F6">
      <w:pPr>
        <w:ind w:left="567" w:right="49"/>
        <w:rPr>
          <w:lang w:val="de-DE"/>
        </w:rPr>
      </w:pPr>
      <w:r w:rsidRPr="001B01D5">
        <w:rPr>
          <w:lang w:val="es-HN"/>
        </w:rPr>
        <w:t xml:space="preserve">Son muchas las ventajas que pueden generarse a través de la Red de Ciudades Intermedias, puesto que, al crearse un sistema de </w:t>
      </w:r>
      <w:r w:rsidRPr="001B01D5">
        <w:rPr>
          <w:lang w:val="de-DE"/>
        </w:rPr>
        <w:t xml:space="preserve">nodos más enfocado en lo local, existirá un acercamiento más palpable para los </w:t>
      </w:r>
      <w:r w:rsidRPr="001B01D5">
        <w:rPr>
          <w:lang w:val="de-DE"/>
        </w:rPr>
        <w:lastRenderedPageBreak/>
        <w:t xml:space="preserve">ciudadanos, creando mayor incidencia en políticas locales y la participación ciudadana, sin perder una perspectiva </w:t>
      </w:r>
      <w:r w:rsidR="00976934">
        <w:rPr>
          <w:lang w:val="de-DE"/>
        </w:rPr>
        <w:t>regional</w:t>
      </w:r>
      <w:r w:rsidRPr="001B01D5">
        <w:rPr>
          <w:lang w:val="de-DE"/>
        </w:rPr>
        <w:t>.</w:t>
      </w:r>
    </w:p>
    <w:p w:rsidR="00211300" w:rsidRDefault="00211300" w:rsidP="00211300">
      <w:pPr>
        <w:ind w:left="567" w:right="49"/>
      </w:pPr>
      <w:r w:rsidRPr="001B01D5">
        <w:rPr>
          <w:lang w:val="es-HN"/>
        </w:rPr>
        <w:t xml:space="preserve">La institucionalidad “sombrilla” para la Red será el </w:t>
      </w:r>
      <w:r>
        <w:rPr>
          <w:lang w:val="es-HN"/>
        </w:rPr>
        <w:t xml:space="preserve">Consejo Centroamericano de Vivienda y Asentamientos Humanos cuyos </w:t>
      </w:r>
      <w:r w:rsidRPr="001B01D5">
        <w:rPr>
          <w:lang w:val="es-HN"/>
        </w:rPr>
        <w:t xml:space="preserve">instrumentos </w:t>
      </w:r>
      <w:r>
        <w:rPr>
          <w:lang w:val="es-HN"/>
        </w:rPr>
        <w:t xml:space="preserve">lo </w:t>
      </w:r>
      <w:r w:rsidRPr="001B01D5">
        <w:rPr>
          <w:lang w:val="es-HN"/>
        </w:rPr>
        <w:t xml:space="preserve">califican como propicio para agregar una perspectiva </w:t>
      </w:r>
      <w:r w:rsidR="0014586E">
        <w:rPr>
          <w:lang w:val="es-HN"/>
        </w:rPr>
        <w:t>regional</w:t>
      </w:r>
      <w:r w:rsidRPr="001B01D5">
        <w:rPr>
          <w:lang w:val="es-HN"/>
        </w:rPr>
        <w:t xml:space="preserve"> al </w:t>
      </w:r>
      <w:r w:rsidRPr="001B01D5">
        <w:t>papel de las ciudades intermedias</w:t>
      </w:r>
      <w:r>
        <w:t>.</w:t>
      </w:r>
    </w:p>
    <w:p w:rsidR="00057E08" w:rsidRPr="001B01D5" w:rsidRDefault="00057E08" w:rsidP="00CD22F6">
      <w:pPr>
        <w:ind w:left="567" w:right="49"/>
        <w:rPr>
          <w:lang w:val="es-AR"/>
        </w:rPr>
      </w:pPr>
      <w:r w:rsidRPr="001B01D5">
        <w:rPr>
          <w:lang w:val="de-DE"/>
        </w:rPr>
        <w:t>Por tanto</w:t>
      </w:r>
      <w:r w:rsidRPr="001B01D5">
        <w:rPr>
          <w:lang w:val="es-AR"/>
        </w:rPr>
        <w:t xml:space="preserve">, como </w:t>
      </w:r>
      <w:r w:rsidR="0014586E">
        <w:rPr>
          <w:lang w:val="es-AR"/>
        </w:rPr>
        <w:t xml:space="preserve">Consejo </w:t>
      </w:r>
      <w:r w:rsidRPr="001B01D5">
        <w:rPr>
          <w:lang w:val="es-AR"/>
        </w:rPr>
        <w:t xml:space="preserve">constatamos </w:t>
      </w:r>
      <w:r w:rsidR="000B1C68">
        <w:rPr>
          <w:lang w:val="es-AR"/>
        </w:rPr>
        <w:t>la intención regional para que se</w:t>
      </w:r>
      <w:r w:rsidRPr="001B01D5">
        <w:rPr>
          <w:lang w:val="es-AR"/>
        </w:rPr>
        <w:t xml:space="preserve"> reconozcan los siguientes aspectos:</w:t>
      </w:r>
    </w:p>
    <w:p w:rsidR="00057E08" w:rsidRPr="001B01D5" w:rsidRDefault="00057E08" w:rsidP="00533F6A">
      <w:pPr>
        <w:pStyle w:val="Prrafodelista"/>
        <w:numPr>
          <w:ilvl w:val="0"/>
          <w:numId w:val="2"/>
        </w:numPr>
        <w:ind w:left="851" w:right="49" w:hanging="284"/>
        <w:rPr>
          <w:lang w:val="es-AR"/>
        </w:rPr>
      </w:pPr>
      <w:r w:rsidRPr="001B01D5">
        <w:rPr>
          <w:lang w:val="es-AR"/>
        </w:rPr>
        <w:t>La definición de Ciudades Intermedias debe establecerse a partir del rol funcional de los territorios y no únicament</w:t>
      </w:r>
      <w:r w:rsidR="000B1C68">
        <w:rPr>
          <w:lang w:val="es-AR"/>
        </w:rPr>
        <w:t xml:space="preserve">e por el tamaño </w:t>
      </w:r>
      <w:proofErr w:type="spellStart"/>
      <w:r w:rsidR="000B1C68">
        <w:rPr>
          <w:lang w:val="es-AR"/>
        </w:rPr>
        <w:t>geo</w:t>
      </w:r>
      <w:proofErr w:type="spellEnd"/>
      <w:r w:rsidR="000B1C68">
        <w:rPr>
          <w:lang w:val="es-AR"/>
        </w:rPr>
        <w:t>-poblacional. P</w:t>
      </w:r>
      <w:r w:rsidRPr="001B01D5">
        <w:rPr>
          <w:lang w:val="es-AR"/>
        </w:rPr>
        <w:t>ara el caso de la región centroamericana además es fundamental establecer los análisis de competitividad que coadyuven a la integración regional y al funcionamiento de ciudad</w:t>
      </w:r>
      <w:r w:rsidR="000B1C68">
        <w:rPr>
          <w:lang w:val="es-AR"/>
        </w:rPr>
        <w:t>es</w:t>
      </w:r>
      <w:r w:rsidRPr="001B01D5">
        <w:rPr>
          <w:lang w:val="es-AR"/>
        </w:rPr>
        <w:t xml:space="preserve"> en red.</w:t>
      </w:r>
    </w:p>
    <w:p w:rsidR="00057E08" w:rsidRPr="001B01D5" w:rsidRDefault="00057E08" w:rsidP="00533F6A">
      <w:pPr>
        <w:pStyle w:val="Prrafodelista"/>
        <w:numPr>
          <w:ilvl w:val="0"/>
          <w:numId w:val="2"/>
        </w:numPr>
        <w:ind w:left="851" w:right="49" w:hanging="284"/>
        <w:rPr>
          <w:lang w:val="es-AR"/>
        </w:rPr>
      </w:pPr>
      <w:r w:rsidRPr="001B01D5">
        <w:rPr>
          <w:lang w:val="es-AR"/>
        </w:rPr>
        <w:t xml:space="preserve">Se vuelve fundamental, desarrollar las capacidades de las ciudades intermedias para desempeñar mejor su rol y el ejercicio de sus funciones, bajo un enfoque preventivo y de </w:t>
      </w:r>
      <w:proofErr w:type="spellStart"/>
      <w:r w:rsidRPr="001B01D5">
        <w:rPr>
          <w:lang w:val="es-AR"/>
        </w:rPr>
        <w:t>resiliencia</w:t>
      </w:r>
      <w:proofErr w:type="spellEnd"/>
      <w:r w:rsidRPr="001B01D5">
        <w:rPr>
          <w:lang w:val="es-AR"/>
        </w:rPr>
        <w:t>, de cara a su rápido crecimiento y evitar las consecuencias y afectaciones de las grandes metrópolis para lograr un desarrollo urbano sostenible y equitativo.</w:t>
      </w:r>
    </w:p>
    <w:p w:rsidR="00057E08" w:rsidRPr="001B01D5" w:rsidRDefault="00057E08" w:rsidP="00533F6A">
      <w:pPr>
        <w:pStyle w:val="Prrafodelista"/>
        <w:numPr>
          <w:ilvl w:val="0"/>
          <w:numId w:val="2"/>
        </w:numPr>
        <w:ind w:left="851" w:right="49" w:hanging="284"/>
        <w:rPr>
          <w:lang w:val="es-AR"/>
        </w:rPr>
      </w:pPr>
      <w:r w:rsidRPr="001B01D5">
        <w:rPr>
          <w:lang w:val="es-AR"/>
        </w:rPr>
        <w:t>Deben desarrollarse mecanismos de financiamiento de las ciudades intermedias, basados en la formulación de propuestas vinculadas a la gestión del suelo</w:t>
      </w:r>
      <w:r w:rsidR="00BF7A30">
        <w:rPr>
          <w:lang w:val="es-AR"/>
        </w:rPr>
        <w:t xml:space="preserve"> cuyos usos estén claramente definidos en función del desarrollo urbano y territorial</w:t>
      </w:r>
      <w:r w:rsidRPr="001B01D5">
        <w:rPr>
          <w:lang w:val="es-AR"/>
        </w:rPr>
        <w:t>.</w:t>
      </w:r>
    </w:p>
    <w:p w:rsidR="00057E08" w:rsidRDefault="00057E08" w:rsidP="00533F6A">
      <w:pPr>
        <w:pStyle w:val="Prrafodelista"/>
        <w:numPr>
          <w:ilvl w:val="0"/>
          <w:numId w:val="2"/>
        </w:numPr>
        <w:ind w:left="851" w:right="49" w:hanging="284"/>
        <w:rPr>
          <w:lang w:val="es-AR"/>
        </w:rPr>
      </w:pPr>
      <w:r w:rsidRPr="001B01D5">
        <w:rPr>
          <w:lang w:val="es-AR"/>
        </w:rPr>
        <w:t>Deben fortalecerse los ejercicios de participación ciudadana más activa y descentralizada en los procesos vinculados al desarrollo territorial y urbano, que contribuyan al fortalecimiento de un sistema de ciudades regional</w:t>
      </w:r>
      <w:r w:rsidR="000B1C68">
        <w:rPr>
          <w:lang w:val="es-AR"/>
        </w:rPr>
        <w:t xml:space="preserve"> y con ello al uso más eficiente del capital territorial</w:t>
      </w:r>
      <w:r w:rsidRPr="001B01D5">
        <w:rPr>
          <w:lang w:val="es-AR"/>
        </w:rPr>
        <w:t xml:space="preserve">. </w:t>
      </w:r>
    </w:p>
    <w:p w:rsidR="000B1C68" w:rsidRPr="001B01D5" w:rsidRDefault="000B1C68" w:rsidP="00533F6A">
      <w:pPr>
        <w:pStyle w:val="Prrafodelista"/>
        <w:numPr>
          <w:ilvl w:val="0"/>
          <w:numId w:val="2"/>
        </w:numPr>
        <w:ind w:left="851" w:right="49" w:hanging="284"/>
        <w:rPr>
          <w:lang w:val="es-AR"/>
        </w:rPr>
      </w:pPr>
      <w:r>
        <w:rPr>
          <w:lang w:val="es-AR"/>
        </w:rPr>
        <w:t xml:space="preserve">Deben innovarse los procesos de Gestión de Conocimiento con vista a la contribución, reflexión y mejora del trabajo asociado y en red. </w:t>
      </w:r>
    </w:p>
    <w:p w:rsidR="00CA704C" w:rsidRPr="001B01D5" w:rsidRDefault="006C60C6" w:rsidP="00CD22F6">
      <w:pPr>
        <w:ind w:left="567" w:right="49"/>
        <w:rPr>
          <w:lang w:val="de-DE"/>
        </w:rPr>
      </w:pPr>
      <w:r w:rsidRPr="001B01D5">
        <w:rPr>
          <w:lang w:val="de-DE"/>
        </w:rPr>
        <w:t xml:space="preserve"> </w:t>
      </w:r>
      <w:r w:rsidR="00BF7A30">
        <w:rPr>
          <w:lang w:val="de-DE"/>
        </w:rPr>
        <w:t>Consejo Centroamericano de Vivienda y Asentamientos Humanos</w:t>
      </w:r>
    </w:p>
    <w:sectPr w:rsidR="00CA704C" w:rsidRPr="001B01D5" w:rsidSect="00C662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2" w:right="1701" w:bottom="1418" w:left="992" w:header="14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407" w:rsidRDefault="00F46407" w:rsidP="00497367">
      <w:pPr>
        <w:spacing w:after="0" w:line="240" w:lineRule="auto"/>
      </w:pPr>
      <w:r>
        <w:separator/>
      </w:r>
    </w:p>
  </w:endnote>
  <w:endnote w:type="continuationSeparator" w:id="0">
    <w:p w:rsidR="00F46407" w:rsidRDefault="00F46407" w:rsidP="0049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2A8" w:rsidRDefault="00C662A8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607565"/>
      <w:docPartObj>
        <w:docPartGallery w:val="Page Numbers (Bottom of Page)"/>
        <w:docPartUnique/>
      </w:docPartObj>
    </w:sdtPr>
    <w:sdtContent>
      <w:p w:rsidR="00497367" w:rsidRDefault="000A6DE1">
        <w:pPr>
          <w:pStyle w:val="Piedepgina"/>
          <w:jc w:val="center"/>
        </w:pPr>
        <w:r>
          <w:fldChar w:fldCharType="begin"/>
        </w:r>
        <w:r w:rsidR="00497367">
          <w:instrText>PAGE   \* MERGEFORMAT</w:instrText>
        </w:r>
        <w:r>
          <w:fldChar w:fldCharType="separate"/>
        </w:r>
        <w:r w:rsidR="0035496E">
          <w:rPr>
            <w:noProof/>
          </w:rPr>
          <w:t>6</w:t>
        </w:r>
        <w:r>
          <w:fldChar w:fldCharType="end"/>
        </w:r>
      </w:p>
    </w:sdtContent>
  </w:sdt>
  <w:p w:rsidR="00497367" w:rsidRDefault="00497367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2A8" w:rsidRDefault="00C662A8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407" w:rsidRDefault="00F46407" w:rsidP="00497367">
      <w:pPr>
        <w:spacing w:after="0" w:line="240" w:lineRule="auto"/>
      </w:pPr>
      <w:r>
        <w:separator/>
      </w:r>
    </w:p>
  </w:footnote>
  <w:footnote w:type="continuationSeparator" w:id="0">
    <w:p w:rsidR="00F46407" w:rsidRDefault="00F46407" w:rsidP="00497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2A8" w:rsidRDefault="00C662A8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434" w:rsidRDefault="00E43434">
    <w:pPr>
      <w:pStyle w:val="Encabezado"/>
    </w:pPr>
  </w:p>
  <w:p w:rsidR="00E43434" w:rsidRDefault="00E43434">
    <w:pPr>
      <w:pStyle w:val="Encabezado"/>
    </w:pPr>
  </w:p>
  <w:p w:rsidR="00E43434" w:rsidRDefault="00E43434">
    <w:pPr>
      <w:pStyle w:val="Encabezado"/>
    </w:pPr>
  </w:p>
  <w:p w:rsidR="00E43434" w:rsidRDefault="00E43434">
    <w:pPr>
      <w:pStyle w:val="Encabezado"/>
    </w:pPr>
  </w:p>
  <w:p w:rsidR="00E43434" w:rsidRDefault="00E43434">
    <w:pPr>
      <w:pStyle w:val="Encabezado"/>
    </w:pPr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2A8" w:rsidRDefault="00C662A8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E1B2F"/>
    <w:multiLevelType w:val="hybridMultilevel"/>
    <w:tmpl w:val="05E0E0A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80926ED"/>
    <w:multiLevelType w:val="hybridMultilevel"/>
    <w:tmpl w:val="163EC824"/>
    <w:lvl w:ilvl="0" w:tplc="2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90019" w:tentative="1">
      <w:start w:val="1"/>
      <w:numFmt w:val="lowerLetter"/>
      <w:lvlText w:val="%2."/>
      <w:lvlJc w:val="left"/>
      <w:pPr>
        <w:ind w:left="1440" w:hanging="360"/>
      </w:pPr>
    </w:lvl>
    <w:lvl w:ilvl="2" w:tplc="2809001B" w:tentative="1">
      <w:start w:val="1"/>
      <w:numFmt w:val="lowerRoman"/>
      <w:lvlText w:val="%3."/>
      <w:lvlJc w:val="right"/>
      <w:pPr>
        <w:ind w:left="2160" w:hanging="180"/>
      </w:pPr>
    </w:lvl>
    <w:lvl w:ilvl="3" w:tplc="2809000F" w:tentative="1">
      <w:start w:val="1"/>
      <w:numFmt w:val="decimal"/>
      <w:lvlText w:val="%4."/>
      <w:lvlJc w:val="left"/>
      <w:pPr>
        <w:ind w:left="2880" w:hanging="360"/>
      </w:pPr>
    </w:lvl>
    <w:lvl w:ilvl="4" w:tplc="28090019" w:tentative="1">
      <w:start w:val="1"/>
      <w:numFmt w:val="lowerLetter"/>
      <w:lvlText w:val="%5."/>
      <w:lvlJc w:val="left"/>
      <w:pPr>
        <w:ind w:left="3600" w:hanging="360"/>
      </w:pPr>
    </w:lvl>
    <w:lvl w:ilvl="5" w:tplc="2809001B" w:tentative="1">
      <w:start w:val="1"/>
      <w:numFmt w:val="lowerRoman"/>
      <w:lvlText w:val="%6."/>
      <w:lvlJc w:val="right"/>
      <w:pPr>
        <w:ind w:left="4320" w:hanging="180"/>
      </w:pPr>
    </w:lvl>
    <w:lvl w:ilvl="6" w:tplc="2809000F" w:tentative="1">
      <w:start w:val="1"/>
      <w:numFmt w:val="decimal"/>
      <w:lvlText w:val="%7."/>
      <w:lvlJc w:val="left"/>
      <w:pPr>
        <w:ind w:left="5040" w:hanging="360"/>
      </w:pPr>
    </w:lvl>
    <w:lvl w:ilvl="7" w:tplc="28090019" w:tentative="1">
      <w:start w:val="1"/>
      <w:numFmt w:val="lowerLetter"/>
      <w:lvlText w:val="%8."/>
      <w:lvlJc w:val="left"/>
      <w:pPr>
        <w:ind w:left="5760" w:hanging="360"/>
      </w:pPr>
    </w:lvl>
    <w:lvl w:ilvl="8" w:tplc="2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F00A1C"/>
    <w:multiLevelType w:val="hybridMultilevel"/>
    <w:tmpl w:val="03C2A662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trackRevisions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D2FD3"/>
    <w:rsid w:val="00001151"/>
    <w:rsid w:val="00002A3B"/>
    <w:rsid w:val="00003B05"/>
    <w:rsid w:val="0001264C"/>
    <w:rsid w:val="000172F9"/>
    <w:rsid w:val="000176B5"/>
    <w:rsid w:val="00017A8B"/>
    <w:rsid w:val="00023B04"/>
    <w:rsid w:val="00023CA4"/>
    <w:rsid w:val="00026BDE"/>
    <w:rsid w:val="00026E00"/>
    <w:rsid w:val="00026E03"/>
    <w:rsid w:val="0003119C"/>
    <w:rsid w:val="000314D2"/>
    <w:rsid w:val="00032714"/>
    <w:rsid w:val="00032883"/>
    <w:rsid w:val="000337C6"/>
    <w:rsid w:val="000338E1"/>
    <w:rsid w:val="000341B8"/>
    <w:rsid w:val="000362CF"/>
    <w:rsid w:val="00037D61"/>
    <w:rsid w:val="000412A9"/>
    <w:rsid w:val="0004395A"/>
    <w:rsid w:val="00050BCD"/>
    <w:rsid w:val="00052030"/>
    <w:rsid w:val="000542A0"/>
    <w:rsid w:val="000543B8"/>
    <w:rsid w:val="00056649"/>
    <w:rsid w:val="00056EB7"/>
    <w:rsid w:val="00056EF3"/>
    <w:rsid w:val="00057270"/>
    <w:rsid w:val="00057BB4"/>
    <w:rsid w:val="00057E08"/>
    <w:rsid w:val="0006032F"/>
    <w:rsid w:val="000621E4"/>
    <w:rsid w:val="0006356E"/>
    <w:rsid w:val="0006431E"/>
    <w:rsid w:val="00065EAB"/>
    <w:rsid w:val="0006764C"/>
    <w:rsid w:val="00071BAB"/>
    <w:rsid w:val="0007375E"/>
    <w:rsid w:val="0008055C"/>
    <w:rsid w:val="00085300"/>
    <w:rsid w:val="00085DDF"/>
    <w:rsid w:val="00085F75"/>
    <w:rsid w:val="0008643B"/>
    <w:rsid w:val="00090E3C"/>
    <w:rsid w:val="000915DB"/>
    <w:rsid w:val="0009534D"/>
    <w:rsid w:val="00095A87"/>
    <w:rsid w:val="000A380B"/>
    <w:rsid w:val="000A5925"/>
    <w:rsid w:val="000A6DE1"/>
    <w:rsid w:val="000B0430"/>
    <w:rsid w:val="000B1C68"/>
    <w:rsid w:val="000B3186"/>
    <w:rsid w:val="000B3592"/>
    <w:rsid w:val="000C4356"/>
    <w:rsid w:val="000C6D19"/>
    <w:rsid w:val="000C740B"/>
    <w:rsid w:val="000D5433"/>
    <w:rsid w:val="000D6F7C"/>
    <w:rsid w:val="000D701B"/>
    <w:rsid w:val="000E06FD"/>
    <w:rsid w:val="000E2772"/>
    <w:rsid w:val="000E2E4C"/>
    <w:rsid w:val="000E32DB"/>
    <w:rsid w:val="000E47AE"/>
    <w:rsid w:val="000F02D5"/>
    <w:rsid w:val="000F0DDF"/>
    <w:rsid w:val="000F4284"/>
    <w:rsid w:val="000F5E3C"/>
    <w:rsid w:val="000F6CC9"/>
    <w:rsid w:val="000F7457"/>
    <w:rsid w:val="00100114"/>
    <w:rsid w:val="001013AB"/>
    <w:rsid w:val="00104ED2"/>
    <w:rsid w:val="001054E2"/>
    <w:rsid w:val="00111D91"/>
    <w:rsid w:val="001126E0"/>
    <w:rsid w:val="001129E4"/>
    <w:rsid w:val="001148D3"/>
    <w:rsid w:val="00115D33"/>
    <w:rsid w:val="00116D6F"/>
    <w:rsid w:val="0012529B"/>
    <w:rsid w:val="00127B6A"/>
    <w:rsid w:val="00131327"/>
    <w:rsid w:val="00136124"/>
    <w:rsid w:val="001428C6"/>
    <w:rsid w:val="00143086"/>
    <w:rsid w:val="0014586E"/>
    <w:rsid w:val="0014681C"/>
    <w:rsid w:val="00152600"/>
    <w:rsid w:val="001529C6"/>
    <w:rsid w:val="00153427"/>
    <w:rsid w:val="00154F3C"/>
    <w:rsid w:val="001553D6"/>
    <w:rsid w:val="00156FA3"/>
    <w:rsid w:val="00160DBD"/>
    <w:rsid w:val="00160EAD"/>
    <w:rsid w:val="001612CA"/>
    <w:rsid w:val="00161885"/>
    <w:rsid w:val="00162A10"/>
    <w:rsid w:val="00163071"/>
    <w:rsid w:val="00163431"/>
    <w:rsid w:val="00167725"/>
    <w:rsid w:val="001745B3"/>
    <w:rsid w:val="00184949"/>
    <w:rsid w:val="00186172"/>
    <w:rsid w:val="00192526"/>
    <w:rsid w:val="0019282B"/>
    <w:rsid w:val="00194D70"/>
    <w:rsid w:val="001961A6"/>
    <w:rsid w:val="00196908"/>
    <w:rsid w:val="00196FC0"/>
    <w:rsid w:val="001A01E4"/>
    <w:rsid w:val="001A1363"/>
    <w:rsid w:val="001A34D6"/>
    <w:rsid w:val="001A47E9"/>
    <w:rsid w:val="001A4E9E"/>
    <w:rsid w:val="001B005C"/>
    <w:rsid w:val="001B01D5"/>
    <w:rsid w:val="001B0E5D"/>
    <w:rsid w:val="001B5F38"/>
    <w:rsid w:val="001B720D"/>
    <w:rsid w:val="001C0456"/>
    <w:rsid w:val="001C0D92"/>
    <w:rsid w:val="001C3B5B"/>
    <w:rsid w:val="001C425D"/>
    <w:rsid w:val="001C6004"/>
    <w:rsid w:val="001C70EC"/>
    <w:rsid w:val="001D027B"/>
    <w:rsid w:val="001D0DC7"/>
    <w:rsid w:val="001D23E9"/>
    <w:rsid w:val="001D2A4E"/>
    <w:rsid w:val="001D48D5"/>
    <w:rsid w:val="001D4AA7"/>
    <w:rsid w:val="001E13D2"/>
    <w:rsid w:val="001E33B6"/>
    <w:rsid w:val="001F3781"/>
    <w:rsid w:val="001F4218"/>
    <w:rsid w:val="001F42A3"/>
    <w:rsid w:val="001F4D79"/>
    <w:rsid w:val="001F7C2E"/>
    <w:rsid w:val="00204A19"/>
    <w:rsid w:val="0020563A"/>
    <w:rsid w:val="00211300"/>
    <w:rsid w:val="00211A92"/>
    <w:rsid w:val="002136C3"/>
    <w:rsid w:val="00213FCB"/>
    <w:rsid w:val="00214253"/>
    <w:rsid w:val="00215F05"/>
    <w:rsid w:val="002201CF"/>
    <w:rsid w:val="00223720"/>
    <w:rsid w:val="00224BE8"/>
    <w:rsid w:val="0022508C"/>
    <w:rsid w:val="00227FC9"/>
    <w:rsid w:val="002307DE"/>
    <w:rsid w:val="002326D8"/>
    <w:rsid w:val="00232F17"/>
    <w:rsid w:val="0023679A"/>
    <w:rsid w:val="002374A2"/>
    <w:rsid w:val="00240096"/>
    <w:rsid w:val="00242A5F"/>
    <w:rsid w:val="00242BA3"/>
    <w:rsid w:val="0024374F"/>
    <w:rsid w:val="00246636"/>
    <w:rsid w:val="00246B90"/>
    <w:rsid w:val="00250844"/>
    <w:rsid w:val="00253ADB"/>
    <w:rsid w:val="00254CA0"/>
    <w:rsid w:val="002555BD"/>
    <w:rsid w:val="00261E1E"/>
    <w:rsid w:val="002628C5"/>
    <w:rsid w:val="00263432"/>
    <w:rsid w:val="00263EE9"/>
    <w:rsid w:val="002643E1"/>
    <w:rsid w:val="00267CD9"/>
    <w:rsid w:val="00273BAD"/>
    <w:rsid w:val="00275558"/>
    <w:rsid w:val="00294299"/>
    <w:rsid w:val="00294DDE"/>
    <w:rsid w:val="002A2491"/>
    <w:rsid w:val="002A6730"/>
    <w:rsid w:val="002A77C8"/>
    <w:rsid w:val="002B2024"/>
    <w:rsid w:val="002B29C9"/>
    <w:rsid w:val="002B3845"/>
    <w:rsid w:val="002C72B9"/>
    <w:rsid w:val="002D226A"/>
    <w:rsid w:val="002D23E0"/>
    <w:rsid w:val="002D287A"/>
    <w:rsid w:val="002D3174"/>
    <w:rsid w:val="002D329D"/>
    <w:rsid w:val="002D35FB"/>
    <w:rsid w:val="002D69B4"/>
    <w:rsid w:val="002E377D"/>
    <w:rsid w:val="002F011B"/>
    <w:rsid w:val="002F389A"/>
    <w:rsid w:val="002F78BE"/>
    <w:rsid w:val="00304583"/>
    <w:rsid w:val="003058E6"/>
    <w:rsid w:val="0031108B"/>
    <w:rsid w:val="0032151E"/>
    <w:rsid w:val="00325308"/>
    <w:rsid w:val="003259EF"/>
    <w:rsid w:val="00326158"/>
    <w:rsid w:val="00326CC6"/>
    <w:rsid w:val="00331BF4"/>
    <w:rsid w:val="00340A3F"/>
    <w:rsid w:val="00341FB1"/>
    <w:rsid w:val="003429ED"/>
    <w:rsid w:val="00346644"/>
    <w:rsid w:val="00350CC3"/>
    <w:rsid w:val="00351BE7"/>
    <w:rsid w:val="0035496E"/>
    <w:rsid w:val="003568D1"/>
    <w:rsid w:val="00361007"/>
    <w:rsid w:val="00366BF5"/>
    <w:rsid w:val="003678D9"/>
    <w:rsid w:val="00372272"/>
    <w:rsid w:val="00374998"/>
    <w:rsid w:val="00381ABB"/>
    <w:rsid w:val="00391BCD"/>
    <w:rsid w:val="00392F90"/>
    <w:rsid w:val="00396100"/>
    <w:rsid w:val="003966DB"/>
    <w:rsid w:val="00397771"/>
    <w:rsid w:val="00397FDB"/>
    <w:rsid w:val="003A0C55"/>
    <w:rsid w:val="003A1C4F"/>
    <w:rsid w:val="003A3DF2"/>
    <w:rsid w:val="003A5A42"/>
    <w:rsid w:val="003A6152"/>
    <w:rsid w:val="003A6BDD"/>
    <w:rsid w:val="003B04DB"/>
    <w:rsid w:val="003B4414"/>
    <w:rsid w:val="003B4748"/>
    <w:rsid w:val="003C016A"/>
    <w:rsid w:val="003C09D4"/>
    <w:rsid w:val="003C0EED"/>
    <w:rsid w:val="003C1C4C"/>
    <w:rsid w:val="003C2CD4"/>
    <w:rsid w:val="003C42A8"/>
    <w:rsid w:val="003C7441"/>
    <w:rsid w:val="003D1C90"/>
    <w:rsid w:val="003D41BC"/>
    <w:rsid w:val="003D4472"/>
    <w:rsid w:val="003D4B4B"/>
    <w:rsid w:val="003D51A1"/>
    <w:rsid w:val="003E4C62"/>
    <w:rsid w:val="003E5884"/>
    <w:rsid w:val="003F52F8"/>
    <w:rsid w:val="003F5BBC"/>
    <w:rsid w:val="003F6C57"/>
    <w:rsid w:val="004023B0"/>
    <w:rsid w:val="004124AD"/>
    <w:rsid w:val="00413E6D"/>
    <w:rsid w:val="0042465D"/>
    <w:rsid w:val="00425D81"/>
    <w:rsid w:val="00427775"/>
    <w:rsid w:val="0043063C"/>
    <w:rsid w:val="004321E2"/>
    <w:rsid w:val="00432EE7"/>
    <w:rsid w:val="004337C8"/>
    <w:rsid w:val="004348ED"/>
    <w:rsid w:val="00441038"/>
    <w:rsid w:val="004445DE"/>
    <w:rsid w:val="004509BE"/>
    <w:rsid w:val="00451F88"/>
    <w:rsid w:val="00452773"/>
    <w:rsid w:val="004552F7"/>
    <w:rsid w:val="004577BD"/>
    <w:rsid w:val="00457F7B"/>
    <w:rsid w:val="004608C7"/>
    <w:rsid w:val="0046283A"/>
    <w:rsid w:val="00462BD6"/>
    <w:rsid w:val="00462CF2"/>
    <w:rsid w:val="00464687"/>
    <w:rsid w:val="00465130"/>
    <w:rsid w:val="00465CD9"/>
    <w:rsid w:val="0046640A"/>
    <w:rsid w:val="004669F8"/>
    <w:rsid w:val="0047368E"/>
    <w:rsid w:val="00474A18"/>
    <w:rsid w:val="0047527B"/>
    <w:rsid w:val="00480EB0"/>
    <w:rsid w:val="0048347D"/>
    <w:rsid w:val="00486DD4"/>
    <w:rsid w:val="00492902"/>
    <w:rsid w:val="00494468"/>
    <w:rsid w:val="00495464"/>
    <w:rsid w:val="00497367"/>
    <w:rsid w:val="004A463E"/>
    <w:rsid w:val="004A4E56"/>
    <w:rsid w:val="004A7393"/>
    <w:rsid w:val="004A73D8"/>
    <w:rsid w:val="004B1816"/>
    <w:rsid w:val="004B4C33"/>
    <w:rsid w:val="004B565F"/>
    <w:rsid w:val="004C2031"/>
    <w:rsid w:val="004C278F"/>
    <w:rsid w:val="004C47A4"/>
    <w:rsid w:val="004C59A3"/>
    <w:rsid w:val="004C65A1"/>
    <w:rsid w:val="004D2A9B"/>
    <w:rsid w:val="004D6D66"/>
    <w:rsid w:val="004E191F"/>
    <w:rsid w:val="004E1D16"/>
    <w:rsid w:val="004E2744"/>
    <w:rsid w:val="004E2F6A"/>
    <w:rsid w:val="004E6F48"/>
    <w:rsid w:val="004F067B"/>
    <w:rsid w:val="004F35B5"/>
    <w:rsid w:val="004F62E5"/>
    <w:rsid w:val="00502CEF"/>
    <w:rsid w:val="00503B12"/>
    <w:rsid w:val="00504560"/>
    <w:rsid w:val="0051253B"/>
    <w:rsid w:val="00514014"/>
    <w:rsid w:val="005141B1"/>
    <w:rsid w:val="00516A70"/>
    <w:rsid w:val="005201A1"/>
    <w:rsid w:val="00520748"/>
    <w:rsid w:val="00521361"/>
    <w:rsid w:val="00527F50"/>
    <w:rsid w:val="005317BD"/>
    <w:rsid w:val="00532B03"/>
    <w:rsid w:val="00533F6A"/>
    <w:rsid w:val="00535C0B"/>
    <w:rsid w:val="00536724"/>
    <w:rsid w:val="005428F4"/>
    <w:rsid w:val="005437F5"/>
    <w:rsid w:val="0054574A"/>
    <w:rsid w:val="005457FB"/>
    <w:rsid w:val="00547E65"/>
    <w:rsid w:val="00550A87"/>
    <w:rsid w:val="0055156E"/>
    <w:rsid w:val="005567F8"/>
    <w:rsid w:val="005619BE"/>
    <w:rsid w:val="00561BA0"/>
    <w:rsid w:val="00563987"/>
    <w:rsid w:val="00571D0C"/>
    <w:rsid w:val="0057431E"/>
    <w:rsid w:val="0057487A"/>
    <w:rsid w:val="0058097B"/>
    <w:rsid w:val="00580F23"/>
    <w:rsid w:val="00583457"/>
    <w:rsid w:val="00583A13"/>
    <w:rsid w:val="00584DD6"/>
    <w:rsid w:val="00584E8B"/>
    <w:rsid w:val="00587490"/>
    <w:rsid w:val="005918FE"/>
    <w:rsid w:val="00592891"/>
    <w:rsid w:val="00595E47"/>
    <w:rsid w:val="005A033B"/>
    <w:rsid w:val="005A1986"/>
    <w:rsid w:val="005A3841"/>
    <w:rsid w:val="005C1B66"/>
    <w:rsid w:val="005C21D0"/>
    <w:rsid w:val="005C3AA0"/>
    <w:rsid w:val="005C50F3"/>
    <w:rsid w:val="005C5686"/>
    <w:rsid w:val="005C5825"/>
    <w:rsid w:val="005C792F"/>
    <w:rsid w:val="005C7A6F"/>
    <w:rsid w:val="005D0B15"/>
    <w:rsid w:val="005D0B83"/>
    <w:rsid w:val="005D1809"/>
    <w:rsid w:val="005D2AFB"/>
    <w:rsid w:val="005D4211"/>
    <w:rsid w:val="005D5E3E"/>
    <w:rsid w:val="005D77B9"/>
    <w:rsid w:val="005E4866"/>
    <w:rsid w:val="005F024E"/>
    <w:rsid w:val="006036B0"/>
    <w:rsid w:val="00603CF9"/>
    <w:rsid w:val="0061043A"/>
    <w:rsid w:val="0061119E"/>
    <w:rsid w:val="00614A51"/>
    <w:rsid w:val="00616875"/>
    <w:rsid w:val="00624C5A"/>
    <w:rsid w:val="00627A8B"/>
    <w:rsid w:val="00627D27"/>
    <w:rsid w:val="0063231F"/>
    <w:rsid w:val="0063272D"/>
    <w:rsid w:val="006337EA"/>
    <w:rsid w:val="00633847"/>
    <w:rsid w:val="006346ED"/>
    <w:rsid w:val="00636372"/>
    <w:rsid w:val="00636A52"/>
    <w:rsid w:val="00640D51"/>
    <w:rsid w:val="00641CB1"/>
    <w:rsid w:val="00641D0D"/>
    <w:rsid w:val="006439DE"/>
    <w:rsid w:val="00644072"/>
    <w:rsid w:val="00645AC5"/>
    <w:rsid w:val="00652988"/>
    <w:rsid w:val="00653887"/>
    <w:rsid w:val="00654C37"/>
    <w:rsid w:val="006550C3"/>
    <w:rsid w:val="00664036"/>
    <w:rsid w:val="00671825"/>
    <w:rsid w:val="00672A17"/>
    <w:rsid w:val="00675CA5"/>
    <w:rsid w:val="006805E9"/>
    <w:rsid w:val="006817BC"/>
    <w:rsid w:val="00683062"/>
    <w:rsid w:val="00683A9F"/>
    <w:rsid w:val="00684CC7"/>
    <w:rsid w:val="0068621E"/>
    <w:rsid w:val="00686B8E"/>
    <w:rsid w:val="0068721C"/>
    <w:rsid w:val="0069352D"/>
    <w:rsid w:val="00693B07"/>
    <w:rsid w:val="006A050E"/>
    <w:rsid w:val="006C1C8F"/>
    <w:rsid w:val="006C2C41"/>
    <w:rsid w:val="006C2E58"/>
    <w:rsid w:val="006C60C6"/>
    <w:rsid w:val="006C7C0B"/>
    <w:rsid w:val="006D21D4"/>
    <w:rsid w:val="006D2FD3"/>
    <w:rsid w:val="006D67D1"/>
    <w:rsid w:val="006D738D"/>
    <w:rsid w:val="006E4365"/>
    <w:rsid w:val="006E62A7"/>
    <w:rsid w:val="006F42D3"/>
    <w:rsid w:val="006F505D"/>
    <w:rsid w:val="00703D1D"/>
    <w:rsid w:val="00705C5D"/>
    <w:rsid w:val="007079CD"/>
    <w:rsid w:val="0071113E"/>
    <w:rsid w:val="00713726"/>
    <w:rsid w:val="00713BF6"/>
    <w:rsid w:val="00721830"/>
    <w:rsid w:val="007260D4"/>
    <w:rsid w:val="007267B1"/>
    <w:rsid w:val="00731BA5"/>
    <w:rsid w:val="007359FD"/>
    <w:rsid w:val="00735ED4"/>
    <w:rsid w:val="0073623D"/>
    <w:rsid w:val="00741258"/>
    <w:rsid w:val="007427E0"/>
    <w:rsid w:val="00743312"/>
    <w:rsid w:val="00743912"/>
    <w:rsid w:val="00743B17"/>
    <w:rsid w:val="00744470"/>
    <w:rsid w:val="007470D0"/>
    <w:rsid w:val="00750EE3"/>
    <w:rsid w:val="007513A8"/>
    <w:rsid w:val="007523C4"/>
    <w:rsid w:val="0075600B"/>
    <w:rsid w:val="00762BB4"/>
    <w:rsid w:val="00762F83"/>
    <w:rsid w:val="00763795"/>
    <w:rsid w:val="00764A63"/>
    <w:rsid w:val="007672AB"/>
    <w:rsid w:val="007755A4"/>
    <w:rsid w:val="00780BE4"/>
    <w:rsid w:val="00784649"/>
    <w:rsid w:val="00786EAD"/>
    <w:rsid w:val="00792753"/>
    <w:rsid w:val="00794299"/>
    <w:rsid w:val="00795FFF"/>
    <w:rsid w:val="00797ECE"/>
    <w:rsid w:val="007A04CD"/>
    <w:rsid w:val="007A3D9F"/>
    <w:rsid w:val="007A5537"/>
    <w:rsid w:val="007A596E"/>
    <w:rsid w:val="007A5CF7"/>
    <w:rsid w:val="007A730A"/>
    <w:rsid w:val="007A74E9"/>
    <w:rsid w:val="007B0400"/>
    <w:rsid w:val="007B064F"/>
    <w:rsid w:val="007B1657"/>
    <w:rsid w:val="007B2CA7"/>
    <w:rsid w:val="007B6DED"/>
    <w:rsid w:val="007C0E97"/>
    <w:rsid w:val="007C177E"/>
    <w:rsid w:val="007C429B"/>
    <w:rsid w:val="007C4D9F"/>
    <w:rsid w:val="007D140C"/>
    <w:rsid w:val="007D3807"/>
    <w:rsid w:val="007D64D4"/>
    <w:rsid w:val="007D7AAF"/>
    <w:rsid w:val="007E4C88"/>
    <w:rsid w:val="007F48C5"/>
    <w:rsid w:val="007F54DB"/>
    <w:rsid w:val="0080319C"/>
    <w:rsid w:val="008063B2"/>
    <w:rsid w:val="008125AB"/>
    <w:rsid w:val="00813942"/>
    <w:rsid w:val="00813E3D"/>
    <w:rsid w:val="00816AAD"/>
    <w:rsid w:val="008217EF"/>
    <w:rsid w:val="00821FED"/>
    <w:rsid w:val="00822589"/>
    <w:rsid w:val="008239CA"/>
    <w:rsid w:val="00824C27"/>
    <w:rsid w:val="008252AC"/>
    <w:rsid w:val="00832504"/>
    <w:rsid w:val="00834097"/>
    <w:rsid w:val="0083725D"/>
    <w:rsid w:val="0083772F"/>
    <w:rsid w:val="00837850"/>
    <w:rsid w:val="008572AD"/>
    <w:rsid w:val="00863F3F"/>
    <w:rsid w:val="008652AD"/>
    <w:rsid w:val="0087775D"/>
    <w:rsid w:val="0088047D"/>
    <w:rsid w:val="00881054"/>
    <w:rsid w:val="0089121F"/>
    <w:rsid w:val="0089149F"/>
    <w:rsid w:val="00892E61"/>
    <w:rsid w:val="008933A3"/>
    <w:rsid w:val="008A2A4A"/>
    <w:rsid w:val="008A4C3B"/>
    <w:rsid w:val="008A5D7F"/>
    <w:rsid w:val="008A6706"/>
    <w:rsid w:val="008A7A0E"/>
    <w:rsid w:val="008B022F"/>
    <w:rsid w:val="008B0820"/>
    <w:rsid w:val="008B0BA7"/>
    <w:rsid w:val="008B15D7"/>
    <w:rsid w:val="008B1957"/>
    <w:rsid w:val="008B4B29"/>
    <w:rsid w:val="008B7FDC"/>
    <w:rsid w:val="008C114A"/>
    <w:rsid w:val="008C4F3F"/>
    <w:rsid w:val="008C56BD"/>
    <w:rsid w:val="008C5BD5"/>
    <w:rsid w:val="008C6130"/>
    <w:rsid w:val="008C7AC1"/>
    <w:rsid w:val="008D2446"/>
    <w:rsid w:val="008D783D"/>
    <w:rsid w:val="008E015B"/>
    <w:rsid w:val="008E4EE3"/>
    <w:rsid w:val="008E5122"/>
    <w:rsid w:val="008E6586"/>
    <w:rsid w:val="008F22CB"/>
    <w:rsid w:val="008F68B1"/>
    <w:rsid w:val="008F6CA7"/>
    <w:rsid w:val="009013AC"/>
    <w:rsid w:val="009103C2"/>
    <w:rsid w:val="00913582"/>
    <w:rsid w:val="009149BB"/>
    <w:rsid w:val="00914FA5"/>
    <w:rsid w:val="00916A33"/>
    <w:rsid w:val="00916C73"/>
    <w:rsid w:val="0091787A"/>
    <w:rsid w:val="009215E5"/>
    <w:rsid w:val="009221D8"/>
    <w:rsid w:val="009238F5"/>
    <w:rsid w:val="00927E30"/>
    <w:rsid w:val="009305FC"/>
    <w:rsid w:val="0093137B"/>
    <w:rsid w:val="00932232"/>
    <w:rsid w:val="00932749"/>
    <w:rsid w:val="00932AD8"/>
    <w:rsid w:val="0093381E"/>
    <w:rsid w:val="00943374"/>
    <w:rsid w:val="00943ECC"/>
    <w:rsid w:val="0094562A"/>
    <w:rsid w:val="00945CBF"/>
    <w:rsid w:val="00946CA4"/>
    <w:rsid w:val="00947C67"/>
    <w:rsid w:val="009528C2"/>
    <w:rsid w:val="00956025"/>
    <w:rsid w:val="009561AB"/>
    <w:rsid w:val="00956E85"/>
    <w:rsid w:val="00961A42"/>
    <w:rsid w:val="00961ACF"/>
    <w:rsid w:val="00964101"/>
    <w:rsid w:val="0097215D"/>
    <w:rsid w:val="0097642E"/>
    <w:rsid w:val="00976934"/>
    <w:rsid w:val="00976F6B"/>
    <w:rsid w:val="00977662"/>
    <w:rsid w:val="00981CD4"/>
    <w:rsid w:val="00981F6D"/>
    <w:rsid w:val="009834DB"/>
    <w:rsid w:val="009921D1"/>
    <w:rsid w:val="009A0C00"/>
    <w:rsid w:val="009A28E9"/>
    <w:rsid w:val="009B2E9D"/>
    <w:rsid w:val="009C03DF"/>
    <w:rsid w:val="009C1333"/>
    <w:rsid w:val="009C39BB"/>
    <w:rsid w:val="009C48A7"/>
    <w:rsid w:val="009D031F"/>
    <w:rsid w:val="009D5C08"/>
    <w:rsid w:val="009D73D1"/>
    <w:rsid w:val="009E1BAF"/>
    <w:rsid w:val="009E3B06"/>
    <w:rsid w:val="009E4A93"/>
    <w:rsid w:val="009E4CE1"/>
    <w:rsid w:val="009E671D"/>
    <w:rsid w:val="009E6FC1"/>
    <w:rsid w:val="009E73E5"/>
    <w:rsid w:val="009E7C00"/>
    <w:rsid w:val="009F5037"/>
    <w:rsid w:val="00A03171"/>
    <w:rsid w:val="00A03AA5"/>
    <w:rsid w:val="00A057B9"/>
    <w:rsid w:val="00A07538"/>
    <w:rsid w:val="00A1046A"/>
    <w:rsid w:val="00A11371"/>
    <w:rsid w:val="00A15B6F"/>
    <w:rsid w:val="00A20055"/>
    <w:rsid w:val="00A22FEE"/>
    <w:rsid w:val="00A2705C"/>
    <w:rsid w:val="00A309BE"/>
    <w:rsid w:val="00A310B9"/>
    <w:rsid w:val="00A367F9"/>
    <w:rsid w:val="00A4176F"/>
    <w:rsid w:val="00A4368D"/>
    <w:rsid w:val="00A451E2"/>
    <w:rsid w:val="00A466DB"/>
    <w:rsid w:val="00A46A47"/>
    <w:rsid w:val="00A47925"/>
    <w:rsid w:val="00A5120C"/>
    <w:rsid w:val="00A512F5"/>
    <w:rsid w:val="00A554DC"/>
    <w:rsid w:val="00A5573A"/>
    <w:rsid w:val="00A60019"/>
    <w:rsid w:val="00A623D6"/>
    <w:rsid w:val="00A63C44"/>
    <w:rsid w:val="00A65CCA"/>
    <w:rsid w:val="00A67CCA"/>
    <w:rsid w:val="00A74802"/>
    <w:rsid w:val="00A84415"/>
    <w:rsid w:val="00A8602C"/>
    <w:rsid w:val="00A86507"/>
    <w:rsid w:val="00A92D1A"/>
    <w:rsid w:val="00A96F46"/>
    <w:rsid w:val="00AA37C4"/>
    <w:rsid w:val="00AA5174"/>
    <w:rsid w:val="00AA6F99"/>
    <w:rsid w:val="00AA75F5"/>
    <w:rsid w:val="00AB4B7F"/>
    <w:rsid w:val="00AC1BE2"/>
    <w:rsid w:val="00AC3480"/>
    <w:rsid w:val="00AC63E1"/>
    <w:rsid w:val="00AC733F"/>
    <w:rsid w:val="00AE2FF8"/>
    <w:rsid w:val="00AF0EAA"/>
    <w:rsid w:val="00AF39A9"/>
    <w:rsid w:val="00B0091C"/>
    <w:rsid w:val="00B034CA"/>
    <w:rsid w:val="00B14A77"/>
    <w:rsid w:val="00B20075"/>
    <w:rsid w:val="00B21440"/>
    <w:rsid w:val="00B217DA"/>
    <w:rsid w:val="00B2339B"/>
    <w:rsid w:val="00B259C6"/>
    <w:rsid w:val="00B26324"/>
    <w:rsid w:val="00B31FA5"/>
    <w:rsid w:val="00B37BEC"/>
    <w:rsid w:val="00B403BA"/>
    <w:rsid w:val="00B408ED"/>
    <w:rsid w:val="00B44438"/>
    <w:rsid w:val="00B44BAD"/>
    <w:rsid w:val="00B45218"/>
    <w:rsid w:val="00B4752B"/>
    <w:rsid w:val="00B5310B"/>
    <w:rsid w:val="00B53191"/>
    <w:rsid w:val="00B55121"/>
    <w:rsid w:val="00B56079"/>
    <w:rsid w:val="00B56A73"/>
    <w:rsid w:val="00B61428"/>
    <w:rsid w:val="00B61959"/>
    <w:rsid w:val="00B6261F"/>
    <w:rsid w:val="00B63CF1"/>
    <w:rsid w:val="00B64BC1"/>
    <w:rsid w:val="00B6680D"/>
    <w:rsid w:val="00B66AA6"/>
    <w:rsid w:val="00B66D54"/>
    <w:rsid w:val="00B67A37"/>
    <w:rsid w:val="00B72153"/>
    <w:rsid w:val="00B73CCC"/>
    <w:rsid w:val="00B804AA"/>
    <w:rsid w:val="00B80BBD"/>
    <w:rsid w:val="00B82922"/>
    <w:rsid w:val="00B83CDD"/>
    <w:rsid w:val="00B84BC6"/>
    <w:rsid w:val="00B86598"/>
    <w:rsid w:val="00B86AEA"/>
    <w:rsid w:val="00B87D15"/>
    <w:rsid w:val="00B903E1"/>
    <w:rsid w:val="00B94CE9"/>
    <w:rsid w:val="00B961D1"/>
    <w:rsid w:val="00BA1FB7"/>
    <w:rsid w:val="00BA50AF"/>
    <w:rsid w:val="00BA5284"/>
    <w:rsid w:val="00BB0A54"/>
    <w:rsid w:val="00BB326B"/>
    <w:rsid w:val="00BB4508"/>
    <w:rsid w:val="00BB6A68"/>
    <w:rsid w:val="00BB70C8"/>
    <w:rsid w:val="00BC1318"/>
    <w:rsid w:val="00BC52BF"/>
    <w:rsid w:val="00BC5E7E"/>
    <w:rsid w:val="00BD40D3"/>
    <w:rsid w:val="00BD4121"/>
    <w:rsid w:val="00BD7F5B"/>
    <w:rsid w:val="00BE13BE"/>
    <w:rsid w:val="00BE1C20"/>
    <w:rsid w:val="00BE6607"/>
    <w:rsid w:val="00BE6906"/>
    <w:rsid w:val="00BE7AF2"/>
    <w:rsid w:val="00BE7E8B"/>
    <w:rsid w:val="00BF2FE8"/>
    <w:rsid w:val="00BF7A30"/>
    <w:rsid w:val="00BF7CF3"/>
    <w:rsid w:val="00C03746"/>
    <w:rsid w:val="00C05B0E"/>
    <w:rsid w:val="00C05EBB"/>
    <w:rsid w:val="00C12691"/>
    <w:rsid w:val="00C12B46"/>
    <w:rsid w:val="00C13B62"/>
    <w:rsid w:val="00C22990"/>
    <w:rsid w:val="00C23BFE"/>
    <w:rsid w:val="00C2633A"/>
    <w:rsid w:val="00C26C8F"/>
    <w:rsid w:val="00C27018"/>
    <w:rsid w:val="00C27648"/>
    <w:rsid w:val="00C329B8"/>
    <w:rsid w:val="00C33587"/>
    <w:rsid w:val="00C340CE"/>
    <w:rsid w:val="00C34DA1"/>
    <w:rsid w:val="00C425C2"/>
    <w:rsid w:val="00C4441C"/>
    <w:rsid w:val="00C4520A"/>
    <w:rsid w:val="00C46F52"/>
    <w:rsid w:val="00C47EFA"/>
    <w:rsid w:val="00C50FFE"/>
    <w:rsid w:val="00C52B2E"/>
    <w:rsid w:val="00C53C42"/>
    <w:rsid w:val="00C56999"/>
    <w:rsid w:val="00C60196"/>
    <w:rsid w:val="00C601B1"/>
    <w:rsid w:val="00C60869"/>
    <w:rsid w:val="00C63F4B"/>
    <w:rsid w:val="00C6444C"/>
    <w:rsid w:val="00C650F3"/>
    <w:rsid w:val="00C662A8"/>
    <w:rsid w:val="00C71091"/>
    <w:rsid w:val="00C71F89"/>
    <w:rsid w:val="00C72930"/>
    <w:rsid w:val="00C743C9"/>
    <w:rsid w:val="00C74ACB"/>
    <w:rsid w:val="00C755AD"/>
    <w:rsid w:val="00C75D10"/>
    <w:rsid w:val="00C83541"/>
    <w:rsid w:val="00C903A7"/>
    <w:rsid w:val="00C9171F"/>
    <w:rsid w:val="00C93627"/>
    <w:rsid w:val="00C93FA0"/>
    <w:rsid w:val="00C95306"/>
    <w:rsid w:val="00CA4604"/>
    <w:rsid w:val="00CA615B"/>
    <w:rsid w:val="00CA6418"/>
    <w:rsid w:val="00CA6665"/>
    <w:rsid w:val="00CA704C"/>
    <w:rsid w:val="00CA7482"/>
    <w:rsid w:val="00CB07A1"/>
    <w:rsid w:val="00CB1195"/>
    <w:rsid w:val="00CB2DA5"/>
    <w:rsid w:val="00CB3C63"/>
    <w:rsid w:val="00CB635D"/>
    <w:rsid w:val="00CC2027"/>
    <w:rsid w:val="00CC39EC"/>
    <w:rsid w:val="00CC6062"/>
    <w:rsid w:val="00CC698D"/>
    <w:rsid w:val="00CC702F"/>
    <w:rsid w:val="00CC750F"/>
    <w:rsid w:val="00CD22F6"/>
    <w:rsid w:val="00CD3745"/>
    <w:rsid w:val="00CE44CD"/>
    <w:rsid w:val="00CF05DE"/>
    <w:rsid w:val="00CF2137"/>
    <w:rsid w:val="00CF4B40"/>
    <w:rsid w:val="00CF74B5"/>
    <w:rsid w:val="00CF7E73"/>
    <w:rsid w:val="00D037A1"/>
    <w:rsid w:val="00D051EB"/>
    <w:rsid w:val="00D07BD4"/>
    <w:rsid w:val="00D10E1F"/>
    <w:rsid w:val="00D132B6"/>
    <w:rsid w:val="00D166B0"/>
    <w:rsid w:val="00D17964"/>
    <w:rsid w:val="00D240C6"/>
    <w:rsid w:val="00D328C2"/>
    <w:rsid w:val="00D34DFF"/>
    <w:rsid w:val="00D3589D"/>
    <w:rsid w:val="00D408B9"/>
    <w:rsid w:val="00D43E70"/>
    <w:rsid w:val="00D46E84"/>
    <w:rsid w:val="00D470EB"/>
    <w:rsid w:val="00D510D5"/>
    <w:rsid w:val="00D555EC"/>
    <w:rsid w:val="00D601DE"/>
    <w:rsid w:val="00D672E9"/>
    <w:rsid w:val="00D679DD"/>
    <w:rsid w:val="00D70C2B"/>
    <w:rsid w:val="00D7226F"/>
    <w:rsid w:val="00D77353"/>
    <w:rsid w:val="00D777D3"/>
    <w:rsid w:val="00D90B30"/>
    <w:rsid w:val="00D93604"/>
    <w:rsid w:val="00D9394A"/>
    <w:rsid w:val="00DA1A94"/>
    <w:rsid w:val="00DA3581"/>
    <w:rsid w:val="00DA63BD"/>
    <w:rsid w:val="00DA6CBB"/>
    <w:rsid w:val="00DB0251"/>
    <w:rsid w:val="00DB16FD"/>
    <w:rsid w:val="00DB180B"/>
    <w:rsid w:val="00DB2927"/>
    <w:rsid w:val="00DB4A2B"/>
    <w:rsid w:val="00DB5157"/>
    <w:rsid w:val="00DB75CA"/>
    <w:rsid w:val="00DC45AC"/>
    <w:rsid w:val="00DD1AF1"/>
    <w:rsid w:val="00DD2EB5"/>
    <w:rsid w:val="00DD324A"/>
    <w:rsid w:val="00DD3AA2"/>
    <w:rsid w:val="00DD3CC1"/>
    <w:rsid w:val="00DD40C8"/>
    <w:rsid w:val="00DD669D"/>
    <w:rsid w:val="00DE1859"/>
    <w:rsid w:val="00DE285B"/>
    <w:rsid w:val="00DE2F81"/>
    <w:rsid w:val="00DF42C8"/>
    <w:rsid w:val="00DF6550"/>
    <w:rsid w:val="00DF66A5"/>
    <w:rsid w:val="00DF7158"/>
    <w:rsid w:val="00E02655"/>
    <w:rsid w:val="00E02F25"/>
    <w:rsid w:val="00E03ED2"/>
    <w:rsid w:val="00E06058"/>
    <w:rsid w:val="00E16081"/>
    <w:rsid w:val="00E165E5"/>
    <w:rsid w:val="00E16900"/>
    <w:rsid w:val="00E174B7"/>
    <w:rsid w:val="00E3034A"/>
    <w:rsid w:val="00E31DAE"/>
    <w:rsid w:val="00E32143"/>
    <w:rsid w:val="00E33CF1"/>
    <w:rsid w:val="00E3518F"/>
    <w:rsid w:val="00E37689"/>
    <w:rsid w:val="00E4089B"/>
    <w:rsid w:val="00E429BA"/>
    <w:rsid w:val="00E43434"/>
    <w:rsid w:val="00E449CA"/>
    <w:rsid w:val="00E44F63"/>
    <w:rsid w:val="00E52D9D"/>
    <w:rsid w:val="00E53215"/>
    <w:rsid w:val="00E634E3"/>
    <w:rsid w:val="00E664D3"/>
    <w:rsid w:val="00E72212"/>
    <w:rsid w:val="00E75D24"/>
    <w:rsid w:val="00E8183D"/>
    <w:rsid w:val="00E81A21"/>
    <w:rsid w:val="00E82DDB"/>
    <w:rsid w:val="00E85E04"/>
    <w:rsid w:val="00E87935"/>
    <w:rsid w:val="00E90B4B"/>
    <w:rsid w:val="00E910C9"/>
    <w:rsid w:val="00E91DF6"/>
    <w:rsid w:val="00E9384C"/>
    <w:rsid w:val="00E942E5"/>
    <w:rsid w:val="00E95BDC"/>
    <w:rsid w:val="00EA7AB5"/>
    <w:rsid w:val="00EB0851"/>
    <w:rsid w:val="00EB3507"/>
    <w:rsid w:val="00EB5DCA"/>
    <w:rsid w:val="00EC10C4"/>
    <w:rsid w:val="00EC2557"/>
    <w:rsid w:val="00ED204C"/>
    <w:rsid w:val="00ED5847"/>
    <w:rsid w:val="00EE059C"/>
    <w:rsid w:val="00EE3A03"/>
    <w:rsid w:val="00EE4AD1"/>
    <w:rsid w:val="00EE609A"/>
    <w:rsid w:val="00EF6639"/>
    <w:rsid w:val="00EF6D04"/>
    <w:rsid w:val="00F03139"/>
    <w:rsid w:val="00F0341B"/>
    <w:rsid w:val="00F052A3"/>
    <w:rsid w:val="00F07D8C"/>
    <w:rsid w:val="00F21B54"/>
    <w:rsid w:val="00F236B9"/>
    <w:rsid w:val="00F2539D"/>
    <w:rsid w:val="00F30519"/>
    <w:rsid w:val="00F306C0"/>
    <w:rsid w:val="00F35B34"/>
    <w:rsid w:val="00F43E56"/>
    <w:rsid w:val="00F46407"/>
    <w:rsid w:val="00F46AB3"/>
    <w:rsid w:val="00F47AF4"/>
    <w:rsid w:val="00F52874"/>
    <w:rsid w:val="00F53A78"/>
    <w:rsid w:val="00F54906"/>
    <w:rsid w:val="00F5516C"/>
    <w:rsid w:val="00F5722B"/>
    <w:rsid w:val="00F61114"/>
    <w:rsid w:val="00F62693"/>
    <w:rsid w:val="00F66B9B"/>
    <w:rsid w:val="00F73A8D"/>
    <w:rsid w:val="00F7497D"/>
    <w:rsid w:val="00F7569F"/>
    <w:rsid w:val="00F80832"/>
    <w:rsid w:val="00F811C6"/>
    <w:rsid w:val="00F81AE4"/>
    <w:rsid w:val="00F8241D"/>
    <w:rsid w:val="00F8346B"/>
    <w:rsid w:val="00F86201"/>
    <w:rsid w:val="00F905EF"/>
    <w:rsid w:val="00F93F01"/>
    <w:rsid w:val="00F94860"/>
    <w:rsid w:val="00FA0371"/>
    <w:rsid w:val="00FA09B7"/>
    <w:rsid w:val="00FA0FAE"/>
    <w:rsid w:val="00FA7399"/>
    <w:rsid w:val="00FA74F4"/>
    <w:rsid w:val="00FA7E27"/>
    <w:rsid w:val="00FB05F1"/>
    <w:rsid w:val="00FB0B64"/>
    <w:rsid w:val="00FB39E4"/>
    <w:rsid w:val="00FB4A07"/>
    <w:rsid w:val="00FB75DF"/>
    <w:rsid w:val="00FC0474"/>
    <w:rsid w:val="00FC1750"/>
    <w:rsid w:val="00FC2686"/>
    <w:rsid w:val="00FD6E50"/>
    <w:rsid w:val="00FE2217"/>
    <w:rsid w:val="00FE29D6"/>
    <w:rsid w:val="00FE339C"/>
    <w:rsid w:val="00FE3845"/>
    <w:rsid w:val="00FE3E68"/>
    <w:rsid w:val="00FE628E"/>
    <w:rsid w:val="00FF3133"/>
    <w:rsid w:val="00FF7417"/>
    <w:rsid w:val="00FF7576"/>
    <w:rsid w:val="00FF7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D3"/>
    <w:pPr>
      <w:jc w:val="both"/>
    </w:pPr>
    <w:rPr>
      <w:rFonts w:ascii="Segoe UI" w:hAnsi="Segoe UI" w:cs="Segoe UI"/>
      <w:spacing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D2F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D2FD3"/>
    <w:pPr>
      <w:widowControl w:val="0"/>
      <w:spacing w:after="0" w:line="300" w:lineRule="auto"/>
      <w:ind w:left="1182" w:right="113"/>
    </w:pPr>
    <w:rPr>
      <w:rFonts w:ascii="Arial" w:eastAsia="Arial" w:hAnsi="Arial"/>
      <w:w w:val="85"/>
      <w:sz w:val="21"/>
      <w:szCs w:val="21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D2FD3"/>
    <w:rPr>
      <w:rFonts w:ascii="Arial" w:eastAsia="Arial" w:hAnsi="Arial" w:cs="Segoe UI"/>
      <w:spacing w:val="18"/>
      <w:w w:val="85"/>
      <w:sz w:val="21"/>
      <w:szCs w:val="21"/>
    </w:rPr>
  </w:style>
  <w:style w:type="paragraph" w:styleId="Prrafodelista">
    <w:name w:val="List Paragraph"/>
    <w:basedOn w:val="Normal"/>
    <w:uiPriority w:val="34"/>
    <w:qFormat/>
    <w:rsid w:val="00C13B6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1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3B62"/>
    <w:rPr>
      <w:rFonts w:ascii="Tahoma" w:hAnsi="Tahoma" w:cs="Tahoma"/>
      <w:spacing w:val="18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973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7367"/>
    <w:rPr>
      <w:rFonts w:ascii="Segoe UI" w:hAnsi="Segoe UI" w:cs="Segoe UI"/>
      <w:spacing w:val="18"/>
    </w:rPr>
  </w:style>
  <w:style w:type="paragraph" w:styleId="Piedepgina">
    <w:name w:val="footer"/>
    <w:basedOn w:val="Normal"/>
    <w:link w:val="PiedepginaCar"/>
    <w:uiPriority w:val="99"/>
    <w:unhideWhenUsed/>
    <w:rsid w:val="004973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7367"/>
    <w:rPr>
      <w:rFonts w:ascii="Segoe UI" w:hAnsi="Segoe UI" w:cs="Segoe UI"/>
      <w:spacing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footer1.xml" Type="http://schemas.openxmlformats.org/officeDocument/2006/relationships/footer"/>
<Relationship Id="rId11" Target="footer2.xml" Type="http://schemas.openxmlformats.org/officeDocument/2006/relationships/footer"/>
<Relationship Id="rId12" Target="header3.xml" Type="http://schemas.openxmlformats.org/officeDocument/2006/relationships/header"/>
<Relationship Id="rId13" Target="footer3.xml" Type="http://schemas.openxmlformats.org/officeDocument/2006/relationships/footer"/>
<Relationship Id="rId14" Target="fontTable.xml" Type="http://schemas.openxmlformats.org/officeDocument/2006/relationships/fontTable"/>
<Relationship Id="rId15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header1.xml" Type="http://schemas.openxmlformats.org/officeDocument/2006/relationships/header"/>
<Relationship Id="rId9" Target="header2.xml" Type="http://schemas.openxmlformats.org/officeDocument/2006/relationships/header"/>
</Relationships>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95D02-B03D-4B00-8C47-3E4AF273D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6</Pages>
  <Words>1758</Words>
  <Characters>9672</Characters>
  <Application>Developed by MetaClean (www.adarsus.com) -Trial License-</Application>
  <DocSecurity>0</DocSecurity>
  <Lines>80</Lines>
  <Paragraphs>22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11408</CharactersWithSpaces>
  <SharedDoc>false</SharedDoc>
  <HyperlinksChanged>false</HyperlinksChanged>
  <AppVersion>12.0000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